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23E34" w14:textId="66D8AD2D" w:rsidR="00B41642" w:rsidRDefault="00F10AC1">
      <w:pPr>
        <w:spacing w:line="20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3CB24F47" wp14:editId="063CD589">
            <wp:simplePos x="0" y="0"/>
            <wp:positionH relativeFrom="page">
              <wp:posOffset>3492500</wp:posOffset>
            </wp:positionH>
            <wp:positionV relativeFrom="page">
              <wp:posOffset>422910</wp:posOffset>
            </wp:positionV>
            <wp:extent cx="591185" cy="584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5DAF" w14:textId="77777777" w:rsidR="00B41642" w:rsidRPr="00F10AC1" w:rsidRDefault="00C42767">
      <w:pPr>
        <w:spacing w:line="0" w:lineRule="atLeast"/>
        <w:jc w:val="center"/>
        <w:rPr>
          <w:rFonts w:cs="Calibri"/>
          <w:b/>
          <w:sz w:val="22"/>
          <w:szCs w:val="28"/>
        </w:rPr>
      </w:pPr>
      <w:r w:rsidRPr="00F10AC1">
        <w:rPr>
          <w:rFonts w:cs="Calibri"/>
          <w:b/>
          <w:sz w:val="22"/>
          <w:szCs w:val="28"/>
        </w:rPr>
        <w:t>MINISTÉRIO DA EDUCAÇÃO</w:t>
      </w:r>
    </w:p>
    <w:p w14:paraId="436BC1BD" w14:textId="77777777" w:rsidR="00B41642" w:rsidRPr="00F10AC1" w:rsidRDefault="00C42767">
      <w:pPr>
        <w:spacing w:line="0" w:lineRule="atLeast"/>
        <w:jc w:val="center"/>
        <w:rPr>
          <w:rFonts w:cs="Calibri"/>
          <w:b/>
          <w:sz w:val="22"/>
          <w:szCs w:val="28"/>
        </w:rPr>
      </w:pPr>
      <w:r w:rsidRPr="00F10AC1">
        <w:rPr>
          <w:rFonts w:cs="Calibri"/>
          <w:b/>
          <w:sz w:val="22"/>
          <w:szCs w:val="28"/>
        </w:rPr>
        <w:t>UNIVERSIDADE FEDERAL FLUMINENSE</w:t>
      </w:r>
    </w:p>
    <w:p w14:paraId="17F44E39" w14:textId="77777777" w:rsidR="00B41642" w:rsidRPr="00F10AC1" w:rsidRDefault="00B41642">
      <w:pPr>
        <w:spacing w:line="37" w:lineRule="exact"/>
        <w:rPr>
          <w:rFonts w:eastAsia="Times New Roman" w:cs="Calibri"/>
          <w:sz w:val="36"/>
          <w:szCs w:val="28"/>
        </w:rPr>
      </w:pPr>
    </w:p>
    <w:p w14:paraId="12699D07" w14:textId="77777777" w:rsidR="00B41642" w:rsidRPr="00F10AC1" w:rsidRDefault="00C42767">
      <w:pPr>
        <w:spacing w:line="204" w:lineRule="exact"/>
        <w:jc w:val="center"/>
        <w:rPr>
          <w:rFonts w:eastAsia="PMingLiU" w:cs="Calibri"/>
          <w:sz w:val="22"/>
          <w:szCs w:val="28"/>
        </w:rPr>
      </w:pPr>
      <w:r w:rsidRPr="00F10AC1">
        <w:rPr>
          <w:rFonts w:eastAsia="PMingLiU" w:cs="Calibri"/>
          <w:sz w:val="22"/>
          <w:szCs w:val="28"/>
        </w:rPr>
        <w:t>Pró-Reitoria de Gestão de Pessoas</w:t>
      </w:r>
    </w:p>
    <w:p w14:paraId="78B9D17C" w14:textId="77777777" w:rsidR="00B41642" w:rsidRPr="00F10AC1" w:rsidRDefault="00B41642">
      <w:pPr>
        <w:spacing w:line="200" w:lineRule="exact"/>
        <w:rPr>
          <w:rFonts w:ascii="Times New Roman" w:eastAsia="Times New Roman" w:hAnsi="Times New Roman"/>
          <w:sz w:val="36"/>
          <w:szCs w:val="28"/>
        </w:rPr>
      </w:pPr>
    </w:p>
    <w:p w14:paraId="0BA667E1" w14:textId="77777777" w:rsidR="00B41642" w:rsidRDefault="00B416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EBD086" w14:textId="77777777" w:rsidR="00B41642" w:rsidRDefault="00B41642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6AB577B" w14:textId="50E2D278" w:rsidR="00B41642" w:rsidRPr="00F10AC1" w:rsidRDefault="00A61A6D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TERMO DE CIÊNCIA PARA FINS DE APOSENTADORIA</w:t>
      </w:r>
    </w:p>
    <w:p w14:paraId="6647E95D" w14:textId="77777777" w:rsidR="00B41642" w:rsidRPr="00F10AC1" w:rsidRDefault="00B41642">
      <w:pPr>
        <w:spacing w:line="204" w:lineRule="exact"/>
        <w:rPr>
          <w:rFonts w:eastAsia="Times New Roman" w:cs="Calibri"/>
          <w:sz w:val="22"/>
          <w:szCs w:val="22"/>
        </w:rPr>
      </w:pPr>
    </w:p>
    <w:p w14:paraId="2FAE628F" w14:textId="22007429" w:rsidR="00B41642" w:rsidRDefault="00B41642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06750298" w14:textId="51F12F73" w:rsidR="00F13CE5" w:rsidRDefault="00F13CE5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2CB62B64" w14:textId="63AB6249" w:rsidR="00F13CE5" w:rsidRDefault="00F13CE5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40E664E2" w14:textId="77777777" w:rsidR="00F13CE5" w:rsidRDefault="00F13CE5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5007CD1B" w14:textId="6418E747" w:rsidR="00B41642" w:rsidRDefault="00A61A6D">
      <w:pPr>
        <w:spacing w:line="0" w:lineRule="atLeast"/>
        <w:ind w:left="80"/>
        <w:rPr>
          <w:b/>
          <w:sz w:val="22"/>
          <w:szCs w:val="28"/>
        </w:rPr>
      </w:pPr>
      <w:r>
        <w:rPr>
          <w:b/>
          <w:sz w:val="22"/>
          <w:szCs w:val="28"/>
        </w:rPr>
        <w:t>DADOS DO REQUERENTE</w:t>
      </w: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7570"/>
        <w:gridCol w:w="2900"/>
      </w:tblGrid>
      <w:tr w:rsidR="00F13CE5" w14:paraId="1F954C30" w14:textId="77777777" w:rsidTr="00F13CE5">
        <w:tc>
          <w:tcPr>
            <w:tcW w:w="7570" w:type="dxa"/>
          </w:tcPr>
          <w:p w14:paraId="01515D90" w14:textId="419D6B36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Nome do </w:t>
            </w:r>
            <w:r w:rsidR="00A61A6D">
              <w:rPr>
                <w:b/>
                <w:sz w:val="22"/>
                <w:szCs w:val="28"/>
              </w:rPr>
              <w:t>Requerente</w:t>
            </w:r>
            <w:r>
              <w:rPr>
                <w:b/>
                <w:sz w:val="22"/>
                <w:szCs w:val="28"/>
              </w:rPr>
              <w:t>:</w:t>
            </w:r>
          </w:p>
          <w:p w14:paraId="24FF6536" w14:textId="77777777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1DFBE356" w14:textId="43EE38A2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  <w:tc>
          <w:tcPr>
            <w:tcW w:w="2900" w:type="dxa"/>
          </w:tcPr>
          <w:p w14:paraId="634D17C2" w14:textId="6E27269B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Matrícula SIAPE:</w:t>
            </w:r>
          </w:p>
        </w:tc>
      </w:tr>
    </w:tbl>
    <w:p w14:paraId="2964E702" w14:textId="36F914E5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0CA361B2" w14:textId="72E7AE98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3D22019E" w14:textId="12132247" w:rsidR="00F13CE5" w:rsidRDefault="00F13CE5">
      <w:pPr>
        <w:spacing w:line="0" w:lineRule="atLeast"/>
        <w:ind w:left="80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DECLARO </w:t>
      </w:r>
      <w:r w:rsidR="00A61A6D">
        <w:rPr>
          <w:b/>
          <w:sz w:val="22"/>
          <w:szCs w:val="28"/>
        </w:rPr>
        <w:t>que estou ciente das seguintes informações:</w:t>
      </w:r>
    </w:p>
    <w:p w14:paraId="69F8A99D" w14:textId="038FCA86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3E592C07" w14:textId="5E1C59F4" w:rsidR="00F13CE5" w:rsidRPr="00F13CE5" w:rsidRDefault="00A61A6D" w:rsidP="00F13CE5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PROGRESSÃO/INCENTIVO À QUALIFICAÇÃO/RETRIBUIÇÃO POR TITULAÇÃO</w:t>
      </w:r>
    </w:p>
    <w:p w14:paraId="1571B617" w14:textId="745195B5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596EFE47" w14:textId="77777777" w:rsidR="00A61A6D" w:rsidRDefault="00A61A6D" w:rsidP="00A61A6D">
      <w:pPr>
        <w:pStyle w:val="tabelatextoalinhadoesquerda"/>
        <w:numPr>
          <w:ilvl w:val="0"/>
          <w:numId w:val="5"/>
        </w:numPr>
        <w:spacing w:before="0" w:beforeAutospacing="0" w:after="0" w:afterAutospacing="0"/>
        <w:ind w:right="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 progressões, as concessões/alterações de incentivo à qualificação ou retribuição por titulação devem ser concedidas durante a atividade. Após a publicação da aposentadoria no DOU não é mais possível a concessão.</w:t>
      </w:r>
    </w:p>
    <w:p w14:paraId="78E92814" w14:textId="6F57354D" w:rsidR="00F13CE5" w:rsidRPr="00A61A6D" w:rsidRDefault="00F13CE5" w:rsidP="00A61A6D">
      <w:pPr>
        <w:pStyle w:val="PargrafodaLista"/>
        <w:spacing w:line="0" w:lineRule="atLeast"/>
        <w:ind w:left="800"/>
        <w:rPr>
          <w:b/>
          <w:sz w:val="22"/>
          <w:szCs w:val="28"/>
        </w:rPr>
      </w:pPr>
    </w:p>
    <w:p w14:paraId="7FA4AB41" w14:textId="6B4AC62F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16832EF1" w14:textId="5DCDE8C5" w:rsidR="00F13CE5" w:rsidRPr="00F13CE5" w:rsidRDefault="00A61A6D" w:rsidP="00F13CE5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FÉRIAS</w:t>
      </w:r>
    </w:p>
    <w:p w14:paraId="41AC8035" w14:textId="77777777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p w14:paraId="7C354658" w14:textId="77777777" w:rsidR="00DB072B" w:rsidRPr="00DB072B" w:rsidRDefault="00DB072B" w:rsidP="00DB072B">
      <w:pPr>
        <w:numPr>
          <w:ilvl w:val="0"/>
          <w:numId w:val="5"/>
        </w:numPr>
        <w:ind w:right="60"/>
        <w:jc w:val="both"/>
        <w:rPr>
          <w:rFonts w:eastAsia="Times New Roman" w:cs="Calibri"/>
          <w:color w:val="000000"/>
          <w:sz w:val="22"/>
          <w:szCs w:val="22"/>
        </w:rPr>
      </w:pPr>
      <w:r w:rsidRPr="00DB072B">
        <w:rPr>
          <w:rFonts w:eastAsia="Times New Roman" w:cs="Calibri"/>
          <w:color w:val="000000"/>
          <w:sz w:val="22"/>
          <w:szCs w:val="22"/>
        </w:rPr>
        <w:t>A marcação de férias é obrigação do(a) servidor(a) interessado(a). Caso o(a) servidor(a) abra processo de aposentadoria e não tenha agendado férias, o mesmo poderá ser aposentado sem o gozo do benefício. Da mesma forma que se o servidor tiver marcado férias para um período posterior à data de abertura do processo de aposentadoria, o mesmo poderá ser aposentado antes do usufruto.</w:t>
      </w:r>
    </w:p>
    <w:p w14:paraId="2EA1F6BB" w14:textId="2E634B8A" w:rsidR="00F13CE5" w:rsidRPr="00DB072B" w:rsidRDefault="00F13CE5" w:rsidP="00DB072B">
      <w:pPr>
        <w:pStyle w:val="PargrafodaLista"/>
        <w:spacing w:line="0" w:lineRule="atLeast"/>
        <w:ind w:left="800"/>
        <w:rPr>
          <w:b/>
          <w:sz w:val="22"/>
          <w:szCs w:val="28"/>
        </w:rPr>
      </w:pPr>
    </w:p>
    <w:p w14:paraId="3C5E5B90" w14:textId="0B5C312E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6AD7620A" w14:textId="4EB1E596" w:rsidR="00F13CE5" w:rsidRDefault="00DB072B" w:rsidP="00F13CE5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LICENÇA PRÊMIO POR ASSIDUIDADE</w:t>
      </w:r>
    </w:p>
    <w:p w14:paraId="66FFEB1E" w14:textId="4A3E799F" w:rsidR="00DB072B" w:rsidRDefault="00DB072B" w:rsidP="00DB072B">
      <w:pPr>
        <w:spacing w:line="0" w:lineRule="atLeast"/>
        <w:rPr>
          <w:b/>
          <w:sz w:val="22"/>
          <w:szCs w:val="28"/>
        </w:rPr>
      </w:pPr>
    </w:p>
    <w:p w14:paraId="08FD9286" w14:textId="77777777" w:rsidR="00DB072B" w:rsidRPr="00DB072B" w:rsidRDefault="00DB072B" w:rsidP="00E1401B">
      <w:pPr>
        <w:numPr>
          <w:ilvl w:val="0"/>
          <w:numId w:val="5"/>
        </w:numPr>
        <w:ind w:right="60"/>
        <w:jc w:val="both"/>
        <w:rPr>
          <w:rFonts w:eastAsia="Times New Roman" w:cs="Calibri"/>
          <w:color w:val="000000"/>
          <w:sz w:val="22"/>
          <w:szCs w:val="22"/>
        </w:rPr>
      </w:pPr>
      <w:r w:rsidRPr="00DB072B">
        <w:rPr>
          <w:rFonts w:eastAsia="Times New Roman" w:cs="Calibri"/>
          <w:color w:val="000000"/>
          <w:sz w:val="22"/>
          <w:szCs w:val="22"/>
        </w:rPr>
        <w:t>Os servidores que completaram 5 anos de efetivo exercício até 15/10/1996, observados outros requisitos, adquiriram o direito a usufruir a licença prêmio por assiduidade ou computar os dias não gozados, em dobro para aposentadoria. Para computar em dobro e aumentar o tempo de contribuição, o(a) servidor(a) deverá autorizar o cômputo em dobro no requerimento de aposentadoria.</w:t>
      </w:r>
    </w:p>
    <w:p w14:paraId="02EAC2CD" w14:textId="77777777" w:rsidR="00DB072B" w:rsidRPr="00DB072B" w:rsidRDefault="00DB072B" w:rsidP="00E1401B">
      <w:pPr>
        <w:numPr>
          <w:ilvl w:val="0"/>
          <w:numId w:val="5"/>
        </w:numPr>
        <w:ind w:right="60"/>
        <w:jc w:val="both"/>
        <w:rPr>
          <w:rFonts w:eastAsia="Times New Roman" w:cs="Calibri"/>
          <w:color w:val="000000"/>
          <w:sz w:val="22"/>
          <w:szCs w:val="22"/>
        </w:rPr>
      </w:pPr>
      <w:r w:rsidRPr="00DB072B">
        <w:rPr>
          <w:rFonts w:eastAsia="Times New Roman" w:cs="Calibri"/>
          <w:color w:val="000000"/>
          <w:sz w:val="22"/>
          <w:szCs w:val="22"/>
        </w:rPr>
        <w:t>A licença prêmio por assiduidade já computada para a concessão de abono de permanência é opção irretratável e será obrigatoriamente computada na aposentadoria (Nota Técnica nº 283/2011/CGNOR/DENOP/SRH/MP).</w:t>
      </w:r>
    </w:p>
    <w:p w14:paraId="7CBC5ADE" w14:textId="433D8461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p w14:paraId="06163F63" w14:textId="77777777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4D2786DB" w14:textId="03EC5E6C" w:rsidR="00F13CE5" w:rsidRDefault="00E1401B" w:rsidP="00334DC6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AFASTAMENTO PARA PARTICIPAÇÃO EM PROGRAMA DE PÓS-GRADUAÇÃO STRICTO SENSU COM ÔNUS</w:t>
      </w:r>
    </w:p>
    <w:p w14:paraId="00D16FCA" w14:textId="77777777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367AA594" w14:textId="43B1172A" w:rsidR="00F13CE5" w:rsidRPr="00E1401B" w:rsidRDefault="00E1401B" w:rsidP="00E1401B">
      <w:pPr>
        <w:pStyle w:val="PargrafodaLista"/>
        <w:numPr>
          <w:ilvl w:val="0"/>
          <w:numId w:val="9"/>
        </w:numPr>
        <w:spacing w:line="0" w:lineRule="atLeast"/>
        <w:jc w:val="both"/>
        <w:rPr>
          <w:b/>
          <w:sz w:val="22"/>
          <w:szCs w:val="28"/>
        </w:rPr>
      </w:pPr>
      <w:r>
        <w:rPr>
          <w:rFonts w:cs="Calibri"/>
          <w:color w:val="000000"/>
          <w:sz w:val="22"/>
          <w:szCs w:val="22"/>
        </w:rPr>
        <w:t>Caso tenha se afastado para participação em programa de pós-graduação stricto sensu com ônus, o servidor não poderá se aposentar antes de decorrido período igual ao do afastamento, ressalvada a hipótese de ressarcimento dos gastos com o aperfeiçoamento, nos termos do artigo 96-A, §4º e §5º da Lei nº 8.112/90.</w:t>
      </w:r>
    </w:p>
    <w:p w14:paraId="7BD2833E" w14:textId="279C2A28" w:rsidR="00E1401B" w:rsidRDefault="00E1401B" w:rsidP="00E1401B">
      <w:pPr>
        <w:spacing w:line="0" w:lineRule="atLeast"/>
        <w:ind w:left="80"/>
        <w:jc w:val="both"/>
        <w:rPr>
          <w:b/>
          <w:sz w:val="22"/>
          <w:szCs w:val="28"/>
        </w:rPr>
      </w:pPr>
    </w:p>
    <w:p w14:paraId="2D0A0B9D" w14:textId="756C4529" w:rsidR="00E1401B" w:rsidRDefault="00E1401B" w:rsidP="00E1401B">
      <w:pPr>
        <w:spacing w:line="0" w:lineRule="atLeast"/>
        <w:ind w:left="80"/>
        <w:jc w:val="both"/>
        <w:rPr>
          <w:b/>
          <w:sz w:val="22"/>
          <w:szCs w:val="28"/>
        </w:rPr>
      </w:pPr>
    </w:p>
    <w:p w14:paraId="55A62427" w14:textId="61C5BDC3" w:rsidR="00E1401B" w:rsidRDefault="00E1401B" w:rsidP="00E1401B">
      <w:pPr>
        <w:spacing w:line="0" w:lineRule="atLeast"/>
        <w:ind w:left="80"/>
        <w:jc w:val="both"/>
        <w:rPr>
          <w:b/>
          <w:sz w:val="22"/>
          <w:szCs w:val="28"/>
        </w:rPr>
      </w:pPr>
    </w:p>
    <w:p w14:paraId="7A0DDA9F" w14:textId="77777777" w:rsidR="00E1401B" w:rsidRPr="00E1401B" w:rsidRDefault="00E1401B" w:rsidP="00E1401B">
      <w:pPr>
        <w:spacing w:line="0" w:lineRule="atLeast"/>
        <w:ind w:left="80"/>
        <w:jc w:val="both"/>
        <w:rPr>
          <w:b/>
          <w:sz w:val="22"/>
          <w:szCs w:val="28"/>
        </w:rPr>
      </w:pPr>
    </w:p>
    <w:p w14:paraId="55E6B725" w14:textId="7A6C6DA9" w:rsidR="00334DC6" w:rsidRDefault="00E1401B" w:rsidP="00334DC6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PUBLICAÇÃO EM DIÁRIO OFICIAL DA UNIÃO (DOU) DA APOSENTADORIA</w:t>
      </w:r>
    </w:p>
    <w:p w14:paraId="2CB7EC13" w14:textId="73F1321A" w:rsidR="00E1401B" w:rsidRDefault="00E1401B" w:rsidP="00E1401B">
      <w:pPr>
        <w:spacing w:line="0" w:lineRule="atLeast"/>
        <w:rPr>
          <w:b/>
          <w:sz w:val="22"/>
          <w:szCs w:val="28"/>
        </w:rPr>
      </w:pPr>
    </w:p>
    <w:p w14:paraId="17312E81" w14:textId="77777777" w:rsidR="00E1401B" w:rsidRPr="00E1401B" w:rsidRDefault="00E1401B" w:rsidP="00E1401B">
      <w:pPr>
        <w:numPr>
          <w:ilvl w:val="0"/>
          <w:numId w:val="9"/>
        </w:numPr>
        <w:ind w:right="60"/>
        <w:jc w:val="both"/>
        <w:rPr>
          <w:rFonts w:eastAsia="Times New Roman" w:cs="Calibri"/>
          <w:color w:val="000000"/>
          <w:sz w:val="22"/>
          <w:szCs w:val="22"/>
        </w:rPr>
      </w:pPr>
      <w:r w:rsidRPr="00E1401B">
        <w:rPr>
          <w:rFonts w:eastAsia="Times New Roman" w:cs="Calibri"/>
          <w:color w:val="000000"/>
          <w:sz w:val="22"/>
          <w:szCs w:val="22"/>
        </w:rPr>
        <w:t>O servidor deve aguardar, no exercício de suas atividades laborais, a publicação da concessão de aposentadoria no Diário Oficial da União (DOU). Após a publicação, será enviado e-mail com a cópia do DOU. O documento também pode ser obtido gratuitamente no site da </w:t>
      </w:r>
      <w:hyperlink r:id="rId6" w:tgtFrame="_blank" w:history="1">
        <w:r w:rsidRPr="00E1401B">
          <w:rPr>
            <w:rFonts w:eastAsia="Times New Roman" w:cs="Calibri"/>
            <w:color w:val="0000FF"/>
            <w:sz w:val="22"/>
            <w:szCs w:val="22"/>
            <w:u w:val="single"/>
          </w:rPr>
          <w:t>Imprensa Nacional</w:t>
        </w:r>
      </w:hyperlink>
      <w:r w:rsidRPr="00E1401B">
        <w:rPr>
          <w:rFonts w:eastAsia="Times New Roman" w:cs="Calibri"/>
          <w:color w:val="000000"/>
          <w:sz w:val="22"/>
          <w:szCs w:val="22"/>
        </w:rPr>
        <w:t>, realizando a busca na "Seção 2 - atos de pessoal" , digitando o termo que desejar na busca (nome, sobrenome, matrícula SIAPE, etc.) e selecionando a data da publicação.</w:t>
      </w:r>
    </w:p>
    <w:p w14:paraId="071C1280" w14:textId="7CEADA60" w:rsidR="00E1401B" w:rsidRDefault="00E1401B" w:rsidP="00E1401B">
      <w:pPr>
        <w:spacing w:line="0" w:lineRule="atLeast"/>
        <w:ind w:left="80"/>
        <w:rPr>
          <w:b/>
          <w:sz w:val="22"/>
          <w:szCs w:val="28"/>
        </w:rPr>
      </w:pPr>
    </w:p>
    <w:p w14:paraId="58C891DB" w14:textId="77777777" w:rsidR="00E1401B" w:rsidRPr="00E1401B" w:rsidRDefault="00E1401B" w:rsidP="00E1401B">
      <w:pPr>
        <w:spacing w:line="0" w:lineRule="atLeast"/>
        <w:ind w:left="80"/>
        <w:rPr>
          <w:b/>
          <w:sz w:val="22"/>
          <w:szCs w:val="28"/>
        </w:rPr>
      </w:pPr>
    </w:p>
    <w:p w14:paraId="2C2AF97A" w14:textId="2E0ED860" w:rsidR="00334DC6" w:rsidRDefault="00E1401B" w:rsidP="00E1401B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PIS/PASEP</w:t>
      </w:r>
    </w:p>
    <w:p w14:paraId="0A8FAB6D" w14:textId="0FB64B1E" w:rsidR="00E1401B" w:rsidRDefault="00E1401B" w:rsidP="00E1401B">
      <w:pPr>
        <w:spacing w:line="0" w:lineRule="atLeast"/>
        <w:rPr>
          <w:b/>
          <w:sz w:val="22"/>
          <w:szCs w:val="28"/>
        </w:rPr>
      </w:pPr>
    </w:p>
    <w:p w14:paraId="22B7C97C" w14:textId="77777777" w:rsidR="00E1401B" w:rsidRPr="00E1401B" w:rsidRDefault="00E1401B" w:rsidP="00E1401B">
      <w:pPr>
        <w:numPr>
          <w:ilvl w:val="0"/>
          <w:numId w:val="9"/>
        </w:numPr>
        <w:ind w:right="60"/>
        <w:jc w:val="both"/>
        <w:rPr>
          <w:rFonts w:eastAsia="Times New Roman" w:cs="Calibri"/>
          <w:color w:val="000000"/>
          <w:sz w:val="22"/>
          <w:szCs w:val="22"/>
        </w:rPr>
      </w:pPr>
      <w:r w:rsidRPr="00E1401B">
        <w:rPr>
          <w:rFonts w:eastAsia="Times New Roman" w:cs="Calibri"/>
          <w:color w:val="000000"/>
          <w:sz w:val="22"/>
          <w:szCs w:val="22"/>
        </w:rPr>
        <w:t>Para realizar o saque de saldo residual de PIS/PASEP é necessário levar ao Banco do Brasil, a cópia do DOU da aposentadoria.</w:t>
      </w:r>
    </w:p>
    <w:p w14:paraId="5F6C76B1" w14:textId="1D5281A2" w:rsidR="00E1401B" w:rsidRDefault="00E1401B" w:rsidP="00E1401B">
      <w:pPr>
        <w:spacing w:line="0" w:lineRule="atLeast"/>
        <w:ind w:left="80"/>
        <w:rPr>
          <w:b/>
          <w:sz w:val="22"/>
          <w:szCs w:val="28"/>
        </w:rPr>
      </w:pPr>
    </w:p>
    <w:p w14:paraId="0143F860" w14:textId="77777777" w:rsidR="00E1401B" w:rsidRPr="00E1401B" w:rsidRDefault="00E1401B" w:rsidP="00E1401B">
      <w:pPr>
        <w:spacing w:line="0" w:lineRule="atLeast"/>
        <w:ind w:left="80"/>
        <w:rPr>
          <w:b/>
          <w:sz w:val="22"/>
          <w:szCs w:val="28"/>
        </w:rPr>
      </w:pPr>
    </w:p>
    <w:p w14:paraId="7230D77C" w14:textId="6F8BAB46" w:rsidR="00334DC6" w:rsidRDefault="00E1401B" w:rsidP="00E1401B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RECADASTRAMENTO</w:t>
      </w:r>
    </w:p>
    <w:p w14:paraId="5C369E94" w14:textId="4D17BAFD" w:rsidR="00E1401B" w:rsidRDefault="00E1401B" w:rsidP="00E1401B">
      <w:pPr>
        <w:spacing w:line="0" w:lineRule="atLeast"/>
        <w:rPr>
          <w:b/>
          <w:sz w:val="22"/>
          <w:szCs w:val="28"/>
        </w:rPr>
      </w:pPr>
    </w:p>
    <w:p w14:paraId="7FE95455" w14:textId="77777777" w:rsidR="00E1401B" w:rsidRPr="00E1401B" w:rsidRDefault="00E1401B" w:rsidP="00E1401B">
      <w:pPr>
        <w:numPr>
          <w:ilvl w:val="0"/>
          <w:numId w:val="9"/>
        </w:numPr>
        <w:ind w:right="60"/>
        <w:jc w:val="both"/>
        <w:rPr>
          <w:rFonts w:eastAsia="Times New Roman" w:cs="Calibri"/>
          <w:color w:val="000000"/>
          <w:sz w:val="22"/>
          <w:szCs w:val="22"/>
        </w:rPr>
      </w:pPr>
      <w:r w:rsidRPr="00E1401B">
        <w:rPr>
          <w:rFonts w:eastAsia="Times New Roman" w:cs="Calibri"/>
          <w:color w:val="000000"/>
          <w:sz w:val="22"/>
          <w:szCs w:val="22"/>
        </w:rPr>
        <w:t>Deve ser realizada anualmente</w:t>
      </w:r>
      <w:r w:rsidRPr="00E1401B">
        <w:rPr>
          <w:rFonts w:eastAsia="Times New Roman" w:cs="Calibri"/>
          <w:b/>
          <w:bCs/>
          <w:color w:val="000000"/>
          <w:sz w:val="22"/>
          <w:szCs w:val="22"/>
        </w:rPr>
        <w:t> no banco onde é pago o provento</w:t>
      </w:r>
      <w:r w:rsidRPr="00E1401B">
        <w:rPr>
          <w:rFonts w:eastAsia="Times New Roman" w:cs="Calibri"/>
          <w:color w:val="000000"/>
          <w:sz w:val="22"/>
          <w:szCs w:val="22"/>
        </w:rPr>
        <w:t>, no mês de aniversário, a comprovação de vida, sendo tal comprovação condição necessária para a continuidade do recebimento do provento de aposentadoria.  </w:t>
      </w:r>
    </w:p>
    <w:p w14:paraId="226D54DA" w14:textId="77777777" w:rsidR="00E1401B" w:rsidRPr="00E1401B" w:rsidRDefault="00E1401B" w:rsidP="00E1401B">
      <w:pPr>
        <w:spacing w:line="0" w:lineRule="atLeast"/>
        <w:ind w:left="80"/>
        <w:rPr>
          <w:b/>
          <w:sz w:val="22"/>
          <w:szCs w:val="28"/>
        </w:rPr>
      </w:pPr>
    </w:p>
    <w:p w14:paraId="7EB6DCC9" w14:textId="77777777" w:rsidR="00334DC6" w:rsidRPr="00F10AC1" w:rsidRDefault="00334DC6">
      <w:pPr>
        <w:spacing w:line="0" w:lineRule="atLeast"/>
        <w:ind w:left="80"/>
        <w:rPr>
          <w:b/>
          <w:sz w:val="22"/>
          <w:szCs w:val="28"/>
        </w:rPr>
      </w:pPr>
    </w:p>
    <w:p w14:paraId="565477BF" w14:textId="317DAF4E" w:rsidR="00B41642" w:rsidRDefault="00B4164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82CCA8" w14:textId="77777777" w:rsidR="00B41642" w:rsidRDefault="00B41642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16476FDF" w14:textId="77777777" w:rsidR="00F10AC1" w:rsidRDefault="00F10AC1">
      <w:pPr>
        <w:spacing w:line="0" w:lineRule="atLeast"/>
        <w:ind w:left="80"/>
        <w:rPr>
          <w:rFonts w:cs="Calibri"/>
          <w:b/>
          <w:sz w:val="22"/>
          <w:szCs w:val="28"/>
        </w:rPr>
      </w:pPr>
    </w:p>
    <w:p w14:paraId="3CE668F5" w14:textId="77777777" w:rsidR="00F10AC1" w:rsidRDefault="00F10AC1" w:rsidP="00F10AC1">
      <w:pPr>
        <w:jc w:val="center"/>
      </w:pPr>
      <w:r>
        <w:t>_________________________________________________</w:t>
      </w:r>
    </w:p>
    <w:p w14:paraId="6E5560DC" w14:textId="77777777" w:rsidR="00F10AC1" w:rsidRPr="00F10AC1" w:rsidRDefault="00F10AC1" w:rsidP="00F10AC1">
      <w:pPr>
        <w:jc w:val="center"/>
        <w:rPr>
          <w:sz w:val="22"/>
          <w:szCs w:val="22"/>
        </w:rPr>
      </w:pPr>
      <w:r w:rsidRPr="00F10AC1">
        <w:rPr>
          <w:sz w:val="22"/>
          <w:szCs w:val="22"/>
        </w:rPr>
        <w:t>Local e data</w:t>
      </w:r>
    </w:p>
    <w:p w14:paraId="5C71BA4D" w14:textId="77777777" w:rsidR="00F10AC1" w:rsidRDefault="00F10AC1" w:rsidP="00F10AC1">
      <w:pPr>
        <w:jc w:val="both"/>
      </w:pPr>
    </w:p>
    <w:p w14:paraId="120508D9" w14:textId="1789F901" w:rsidR="00F10AC1" w:rsidRDefault="00F10AC1" w:rsidP="00F10AC1">
      <w:pPr>
        <w:jc w:val="both"/>
      </w:pPr>
    </w:p>
    <w:p w14:paraId="2322488C" w14:textId="77777777" w:rsidR="00F10AC1" w:rsidRDefault="00F10AC1" w:rsidP="00F10AC1">
      <w:pPr>
        <w:jc w:val="both"/>
      </w:pPr>
    </w:p>
    <w:p w14:paraId="66311D62" w14:textId="77777777" w:rsidR="00F10AC1" w:rsidRDefault="00F10AC1" w:rsidP="00F10AC1">
      <w:pPr>
        <w:jc w:val="center"/>
      </w:pPr>
      <w:r>
        <w:t>_________________________________________________</w:t>
      </w:r>
    </w:p>
    <w:p w14:paraId="05412D6B" w14:textId="77777777" w:rsidR="00F10AC1" w:rsidRPr="00F10AC1" w:rsidRDefault="00F10AC1" w:rsidP="00F10AC1">
      <w:pPr>
        <w:jc w:val="center"/>
        <w:rPr>
          <w:sz w:val="22"/>
          <w:szCs w:val="22"/>
        </w:rPr>
      </w:pPr>
      <w:r w:rsidRPr="00F10AC1">
        <w:rPr>
          <w:sz w:val="22"/>
          <w:szCs w:val="22"/>
        </w:rPr>
        <w:t>Assinatura do Requerente</w:t>
      </w:r>
    </w:p>
    <w:p w14:paraId="64842759" w14:textId="77777777" w:rsidR="00F10AC1" w:rsidRPr="00F10AC1" w:rsidRDefault="00F10AC1" w:rsidP="00F10AC1">
      <w:pPr>
        <w:spacing w:line="0" w:lineRule="atLeast"/>
        <w:rPr>
          <w:rFonts w:cs="Calibri"/>
          <w:b/>
          <w:sz w:val="22"/>
          <w:szCs w:val="28"/>
        </w:rPr>
      </w:pPr>
    </w:p>
    <w:p w14:paraId="4238447B" w14:textId="01A30192" w:rsidR="00B41642" w:rsidRDefault="00B4164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A7E885" w14:textId="77777777" w:rsidR="00B41642" w:rsidRDefault="00B41642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5B8FF4E1" w14:textId="657FDD5B" w:rsidR="00C42767" w:rsidRDefault="00C42767">
      <w:pPr>
        <w:tabs>
          <w:tab w:val="left" w:pos="9740"/>
        </w:tabs>
        <w:spacing w:line="0" w:lineRule="atLeast"/>
        <w:rPr>
          <w:sz w:val="13"/>
        </w:rPr>
      </w:pPr>
      <w:r>
        <w:rPr>
          <w:rFonts w:ascii="Times New Roman" w:eastAsia="Times New Roman" w:hAnsi="Times New Roman"/>
        </w:rPr>
        <w:tab/>
      </w:r>
    </w:p>
    <w:sectPr w:rsidR="00C42767">
      <w:pgSz w:w="11900" w:h="16838"/>
      <w:pgMar w:top="1440" w:right="659" w:bottom="1440" w:left="680" w:header="0" w:footer="0" w:gutter="0"/>
      <w:cols w:space="0" w:equalWidth="0">
        <w:col w:w="10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6FE2"/>
    <w:multiLevelType w:val="multilevel"/>
    <w:tmpl w:val="F74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0A60"/>
    <w:multiLevelType w:val="hybridMultilevel"/>
    <w:tmpl w:val="370070BE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AB57134"/>
    <w:multiLevelType w:val="multilevel"/>
    <w:tmpl w:val="5C8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E3653"/>
    <w:multiLevelType w:val="multilevel"/>
    <w:tmpl w:val="9BC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80233"/>
    <w:multiLevelType w:val="multilevel"/>
    <w:tmpl w:val="25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72DD3"/>
    <w:multiLevelType w:val="hybridMultilevel"/>
    <w:tmpl w:val="E3D041F6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3C344769"/>
    <w:multiLevelType w:val="hybridMultilevel"/>
    <w:tmpl w:val="AEB849DC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9906672"/>
    <w:multiLevelType w:val="hybridMultilevel"/>
    <w:tmpl w:val="508A4BA0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620C2AE0"/>
    <w:multiLevelType w:val="hybridMultilevel"/>
    <w:tmpl w:val="BBDEECCA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6E2A1B30"/>
    <w:multiLevelType w:val="multilevel"/>
    <w:tmpl w:val="8F5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40A69"/>
    <w:multiLevelType w:val="multilevel"/>
    <w:tmpl w:val="30C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91EAE"/>
    <w:multiLevelType w:val="hybridMultilevel"/>
    <w:tmpl w:val="BBDEECCA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1"/>
    <w:rsid w:val="002E0B8D"/>
    <w:rsid w:val="00334DC6"/>
    <w:rsid w:val="0061287A"/>
    <w:rsid w:val="00A61A6D"/>
    <w:rsid w:val="00B41642"/>
    <w:rsid w:val="00C42767"/>
    <w:rsid w:val="00DB072B"/>
    <w:rsid w:val="00E1401B"/>
    <w:rsid w:val="00F10AC1"/>
    <w:rsid w:val="00F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F8AE"/>
  <w15:chartTrackingRefBased/>
  <w15:docId w15:val="{41733941-E145-41A5-93F3-04105B7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3CE5"/>
    <w:pPr>
      <w:ind w:left="720"/>
      <w:contextualSpacing/>
    </w:pPr>
  </w:style>
  <w:style w:type="paragraph" w:customStyle="1" w:styleId="Default">
    <w:name w:val="Default"/>
    <w:rsid w:val="00F13C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elatextoalinhadoesquerda">
    <w:name w:val="tabela_texto_alinhado_esquerda"/>
    <w:basedOn w:val="Normal"/>
    <w:rsid w:val="00A61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1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homolog.uff.br/sei/www.in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cp:lastModifiedBy>Igor Garcez</cp:lastModifiedBy>
  <cp:revision>3</cp:revision>
  <dcterms:created xsi:type="dcterms:W3CDTF">2021-04-29T15:45:00Z</dcterms:created>
  <dcterms:modified xsi:type="dcterms:W3CDTF">2021-04-29T15:49:00Z</dcterms:modified>
</cp:coreProperties>
</file>