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58AF3" w14:textId="7010294E" w:rsidR="00146AC4" w:rsidRDefault="00997ED6" w:rsidP="00146AC4">
      <w:pPr>
        <w:pStyle w:val="Header"/>
        <w:tabs>
          <w:tab w:val="clear" w:pos="4419"/>
          <w:tab w:val="clear" w:pos="8838"/>
          <w:tab w:val="left" w:pos="8340"/>
        </w:tabs>
      </w:pPr>
      <w:bookmarkStart w:id="0" w:name="_Hlk509777098"/>
      <w:bookmarkStart w:id="1" w:name="_Hlk50978095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5722696" wp14:editId="1EE83D08">
            <wp:simplePos x="0" y="0"/>
            <wp:positionH relativeFrom="column">
              <wp:posOffset>-144145</wp:posOffset>
            </wp:positionH>
            <wp:positionV relativeFrom="paragraph">
              <wp:posOffset>-314960</wp:posOffset>
            </wp:positionV>
            <wp:extent cx="898525" cy="483870"/>
            <wp:effectExtent l="0" t="0" r="0" b="0"/>
            <wp:wrapNone/>
            <wp:docPr id="1" name="Imagem 1" descr="BRASAO U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AO UFF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AC4">
        <w:rPr>
          <w:noProof/>
        </w:rPr>
        <w:drawing>
          <wp:anchor distT="0" distB="0" distL="114300" distR="114300" simplePos="0" relativeHeight="251657216" behindDoc="0" locked="0" layoutInCell="1" allowOverlap="1" wp14:anchorId="31497412" wp14:editId="342258CB">
            <wp:simplePos x="0" y="0"/>
            <wp:positionH relativeFrom="margin">
              <wp:align>center</wp:align>
            </wp:positionH>
            <wp:positionV relativeFrom="paragraph">
              <wp:posOffset>-19685</wp:posOffset>
            </wp:positionV>
            <wp:extent cx="640080" cy="6191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AC4">
        <w:tab/>
      </w:r>
    </w:p>
    <w:p w14:paraId="3E5086EF" w14:textId="77777777" w:rsidR="00146AC4" w:rsidRDefault="00146AC4" w:rsidP="00146AC4"/>
    <w:p w14:paraId="325565ED" w14:textId="77777777" w:rsidR="00146AC4" w:rsidRDefault="00146AC4" w:rsidP="00146AC4"/>
    <w:p w14:paraId="11340C8B" w14:textId="77777777" w:rsidR="00146AC4" w:rsidRDefault="00146AC4" w:rsidP="00146AC4"/>
    <w:p w14:paraId="14D1E300" w14:textId="77777777" w:rsidR="00146AC4" w:rsidRPr="00456DAD" w:rsidRDefault="00146AC4" w:rsidP="00146AC4">
      <w:pPr>
        <w:tabs>
          <w:tab w:val="left" w:pos="6284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456DAD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INISTÉRIO DA EDUCAÇÃO</w:t>
      </w:r>
    </w:p>
    <w:p w14:paraId="52FE3ACF" w14:textId="77777777" w:rsidR="00146AC4" w:rsidRPr="00777603" w:rsidRDefault="00146AC4" w:rsidP="00146AC4">
      <w:pPr>
        <w:pStyle w:val="Heading1"/>
        <w:rPr>
          <w:rFonts w:ascii="Arial" w:hAnsi="Arial" w:cs="Arial"/>
          <w:sz w:val="20"/>
          <w:szCs w:val="20"/>
        </w:rPr>
      </w:pPr>
      <w:r w:rsidRPr="00777603">
        <w:rPr>
          <w:rFonts w:ascii="Arial" w:hAnsi="Arial" w:cs="Arial"/>
          <w:sz w:val="20"/>
          <w:szCs w:val="20"/>
        </w:rPr>
        <w:t>UNIVERSIDADE FEDERAL FLUMINENSE</w:t>
      </w:r>
    </w:p>
    <w:bookmarkEnd w:id="0"/>
    <w:p w14:paraId="180418F0" w14:textId="77777777" w:rsidR="00676FA4" w:rsidRPr="00E5719D" w:rsidRDefault="00676FA4" w:rsidP="00676F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PRÓ REITORIA DE ADMINISTRAÇÃO</w:t>
      </w:r>
    </w:p>
    <w:p w14:paraId="0FDDAC44" w14:textId="77777777" w:rsidR="00146AC4" w:rsidRDefault="00146AC4" w:rsidP="00146AC4">
      <w:pPr>
        <w:rPr>
          <w:sz w:val="22"/>
        </w:rPr>
      </w:pPr>
    </w:p>
    <w:p w14:paraId="48224372" w14:textId="073BFE7B" w:rsidR="00146AC4" w:rsidRPr="00F60A70" w:rsidRDefault="00146AC4" w:rsidP="00146AC4">
      <w:pPr>
        <w:pStyle w:val="Heading1"/>
        <w:shd w:val="clear" w:color="auto" w:fill="E7E6E6"/>
        <w:rPr>
          <w:rFonts w:asciiTheme="minorHAnsi" w:hAnsiTheme="minorHAnsi" w:cstheme="minorHAnsi"/>
          <w:sz w:val="22"/>
          <w:szCs w:val="22"/>
        </w:rPr>
      </w:pPr>
      <w:r w:rsidRPr="00F60A70">
        <w:rPr>
          <w:rFonts w:asciiTheme="minorHAnsi" w:hAnsiTheme="minorHAnsi" w:cstheme="minorHAnsi"/>
          <w:sz w:val="22"/>
          <w:szCs w:val="22"/>
        </w:rPr>
        <w:t xml:space="preserve">ANEXO </w:t>
      </w:r>
      <w:r w:rsidR="003811FD" w:rsidRPr="00F60A70">
        <w:rPr>
          <w:rFonts w:asciiTheme="minorHAnsi" w:hAnsiTheme="minorHAnsi" w:cstheme="minorHAnsi"/>
          <w:sz w:val="22"/>
          <w:szCs w:val="22"/>
        </w:rPr>
        <w:t>III</w:t>
      </w:r>
      <w:r w:rsidR="00777603" w:rsidRPr="00F60A70">
        <w:rPr>
          <w:rFonts w:asciiTheme="minorHAnsi" w:hAnsiTheme="minorHAnsi" w:cstheme="minorHAnsi"/>
          <w:sz w:val="22"/>
          <w:szCs w:val="22"/>
        </w:rPr>
        <w:t xml:space="preserve"> </w:t>
      </w:r>
      <w:r w:rsidRPr="00F60A70">
        <w:rPr>
          <w:rFonts w:asciiTheme="minorHAnsi" w:hAnsiTheme="minorHAnsi" w:cstheme="minorHAnsi"/>
          <w:sz w:val="22"/>
          <w:szCs w:val="22"/>
        </w:rPr>
        <w:t>– INSTRUMENTO DE MEDIÇÃO DE RESULTADO</w:t>
      </w:r>
    </w:p>
    <w:p w14:paraId="65824008" w14:textId="77777777" w:rsidR="00146AC4" w:rsidRPr="00F60A70" w:rsidRDefault="00146AC4" w:rsidP="00146AC4">
      <w:pPr>
        <w:pStyle w:val="ListParagraph"/>
        <w:tabs>
          <w:tab w:val="left" w:pos="426"/>
        </w:tabs>
        <w:ind w:left="0"/>
        <w:jc w:val="both"/>
        <w:rPr>
          <w:rFonts w:asciiTheme="minorHAnsi" w:eastAsia="Arial Unicode MS" w:hAnsiTheme="minorHAnsi" w:cstheme="minorHAnsi"/>
          <w:sz w:val="22"/>
          <w:szCs w:val="22"/>
          <w:lang w:val="x-none"/>
        </w:rPr>
      </w:pPr>
    </w:p>
    <w:bookmarkEnd w:id="1"/>
    <w:p w14:paraId="44ABEE82" w14:textId="03D12A20" w:rsidR="00DD5D63" w:rsidRPr="00F60A70" w:rsidRDefault="005913FE" w:rsidP="003C2ACF">
      <w:pPr>
        <w:pStyle w:val="ListParagraph"/>
        <w:tabs>
          <w:tab w:val="left" w:pos="426"/>
        </w:tabs>
        <w:spacing w:line="276" w:lineRule="auto"/>
        <w:ind w:left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60A70">
        <w:rPr>
          <w:rFonts w:asciiTheme="minorHAnsi" w:eastAsia="Arial Unicode MS" w:hAnsiTheme="minorHAnsi" w:cstheme="minorHAnsi"/>
          <w:b/>
          <w:sz w:val="22"/>
          <w:szCs w:val="22"/>
        </w:rPr>
        <w:t>INSTRUMENTO DE MEDIÇÃO DE RESULTADOS</w:t>
      </w:r>
      <w:r w:rsidR="00DD5D63" w:rsidRPr="00F60A70">
        <w:rPr>
          <w:rFonts w:asciiTheme="minorHAnsi" w:eastAsia="Arial Unicode MS" w:hAnsiTheme="minorHAnsi" w:cstheme="minorHAnsi"/>
          <w:b/>
          <w:sz w:val="22"/>
          <w:szCs w:val="22"/>
          <w:lang w:val="x-none"/>
        </w:rPr>
        <w:t xml:space="preserve"> DE ATIVIDADES D</w:t>
      </w:r>
      <w:r w:rsidR="00DD5D63" w:rsidRPr="00F60A70">
        <w:rPr>
          <w:rFonts w:asciiTheme="minorHAnsi" w:eastAsia="Arial Unicode MS" w:hAnsiTheme="minorHAnsi" w:cstheme="minorHAnsi"/>
          <w:b/>
          <w:sz w:val="22"/>
          <w:szCs w:val="22"/>
        </w:rPr>
        <w:t>E</w:t>
      </w:r>
      <w:r w:rsidR="00DD5D63" w:rsidRPr="00F60A70">
        <w:rPr>
          <w:rFonts w:asciiTheme="minorHAnsi" w:eastAsia="Arial Unicode MS" w:hAnsiTheme="minorHAnsi" w:cstheme="minorHAnsi"/>
          <w:b/>
          <w:sz w:val="22"/>
          <w:szCs w:val="22"/>
          <w:lang w:val="x-none"/>
        </w:rPr>
        <w:t xml:space="preserve"> </w:t>
      </w:r>
      <w:r w:rsidR="00DD5D63" w:rsidRPr="00F60A70">
        <w:rPr>
          <w:rFonts w:asciiTheme="minorHAnsi" w:eastAsia="Arial Unicode MS" w:hAnsiTheme="minorHAnsi" w:cstheme="minorHAnsi"/>
          <w:b/>
          <w:sz w:val="22"/>
          <w:szCs w:val="22"/>
        </w:rPr>
        <w:t>MÃO DE OBRA PARA SERVIÇOS CONTINUADOS DE NA UNIVERSIDADE FEDERAL FLUMINENSE</w:t>
      </w:r>
    </w:p>
    <w:p w14:paraId="12E9BD6F" w14:textId="77777777" w:rsidR="00DD5D63" w:rsidRPr="00F60A70" w:rsidRDefault="00DD5D63" w:rsidP="003C2AC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C14F463" w14:textId="77777777" w:rsidR="00DD5D63" w:rsidRPr="003C2ACF" w:rsidRDefault="00DD5D63" w:rsidP="003C2ACF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3C2ACF">
        <w:rPr>
          <w:rFonts w:asciiTheme="minorHAnsi" w:eastAsia="Arial Unicode MS" w:hAnsiTheme="minorHAnsi" w:cstheme="minorHAnsi"/>
          <w:b/>
          <w:sz w:val="22"/>
          <w:szCs w:val="22"/>
        </w:rPr>
        <w:t>INTRODUÇÃO</w:t>
      </w:r>
    </w:p>
    <w:p w14:paraId="009617C2" w14:textId="77777777" w:rsidR="00C6037F" w:rsidRPr="003C2ACF" w:rsidRDefault="00C6037F" w:rsidP="003C2ACF">
      <w:pPr>
        <w:pStyle w:val="ListParagraph"/>
        <w:tabs>
          <w:tab w:val="left" w:pos="0"/>
        </w:tabs>
        <w:spacing w:line="276" w:lineRule="auto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997AA2B" w14:textId="77777777" w:rsidR="003C2ACF" w:rsidRDefault="003C2ACF" w:rsidP="003C2AC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O IMR é, conforme Instrução Normativa nº 05 de 2017, o “mecanismo que define, em bases compreensíveis, tangíveis, objetivamente observáveis e comprováveis, os níveis esperados de qualidade da prestação do serviço e respectivas adequações de pagamento” para os serviços prestados.</w:t>
      </w:r>
    </w:p>
    <w:p w14:paraId="124AC8C5" w14:textId="77777777" w:rsidR="003C2ACF" w:rsidRPr="003C2ACF" w:rsidRDefault="003C2ACF" w:rsidP="003C2AC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Fiscalização Técnica medirá a eficiência da execução contratual em função de indicadores referenciais descritos a seguir como atividades críticas do contrato, que são critérios objetivos e mensuráveis estabelecidos com a finalidade de aferir e avaliar diversos fatores relacionados com os serviços contratados, quais sejam: qualidade, desempenho e disponibilidade de uso. </w:t>
      </w:r>
    </w:p>
    <w:p w14:paraId="6A91FF30" w14:textId="77777777" w:rsidR="003C2ACF" w:rsidRPr="003C2ACF" w:rsidRDefault="003C2ACF" w:rsidP="003C2AC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Para mensurar esses fatores serão utilizados indicadores relacionados com a natureza e características dos itens contratados, para os quais foi estabelecida meta quantificável a ser cumprida pela CONTRATADA. Esses indicadores são expressos em unidades de medida exata e claramente mensuráveis visando o </w:t>
      </w: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Cumprimento de Metas Técnicas Contratuais.</w:t>
      </w:r>
    </w:p>
    <w:p w14:paraId="3E0D649C" w14:textId="77777777" w:rsidR="003C2ACF" w:rsidRDefault="003C2ACF" w:rsidP="003C2AC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 aferição e avaliação dos indicadores serão feitas a cada medição/faturamento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devendo a Contratada apresentá-lo dentro do Relatório de Medição. Devem constar dentro deste relatório o indicador e meta de níveis de serviço alcançado. O conteúdo detalhado e a forma da apresentação serão definidos pelas partes. </w:t>
      </w:r>
    </w:p>
    <w:p w14:paraId="2DB55061" w14:textId="77777777" w:rsidR="003C2ACF" w:rsidRDefault="003C2ACF" w:rsidP="003C2AC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 primeiros 90 (noventa) dias, após o início da execução dos serviços serão considerados como período de estabilização, durante o qual a Contratada deverá proceder a todos os ajustes que se mostrarem necessários, bem como nos procedimentos adotados e demais aspectos da prestação dos serviços, de modo a assegurar o alcance dos níveis das metas estabelecidos. Caso haja prorrogação da vigência contratual, não haverá novo período de estabilização. </w:t>
      </w:r>
    </w:p>
    <w:p w14:paraId="6FB290FF" w14:textId="77777777" w:rsidR="003C2ACF" w:rsidRDefault="003C2ACF" w:rsidP="003C2AC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284" w:hanging="29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Em função do dito acima, </w:t>
      </w: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será aplicada um método de carência sobre a aplicação das metas nos primeiros 90 (noventa) dias do contrato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conforme metodologia explicitada a seguir.</w:t>
      </w:r>
    </w:p>
    <w:p w14:paraId="55D80C00" w14:textId="77777777" w:rsidR="003C2ACF" w:rsidRDefault="003C2ACF" w:rsidP="003C2ACF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para o 1º mês de execução contratual: cobrança de 50% das metas;</w:t>
      </w:r>
    </w:p>
    <w:p w14:paraId="5D25CD23" w14:textId="28C3E109" w:rsidR="003C2ACF" w:rsidRPr="003C2ACF" w:rsidRDefault="003C2ACF" w:rsidP="003C2ACF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para o 2º mês de execução contratual: cobrança de 70% das metas;</w:t>
      </w:r>
    </w:p>
    <w:p w14:paraId="7C715E6F" w14:textId="783D279E" w:rsidR="003C2ACF" w:rsidRPr="003C2ACF" w:rsidRDefault="003C2ACF" w:rsidP="003C2ACF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para o 3º mês de execução contratual: cobrança de 90% das metas;</w:t>
      </w:r>
    </w:p>
    <w:p w14:paraId="690FFB68" w14:textId="63097243" w:rsidR="003C2ACF" w:rsidRPr="003C2ACF" w:rsidRDefault="003C2ACF" w:rsidP="003C2ACF">
      <w:pPr>
        <w:pStyle w:val="ListParagraph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a partir do 4º mês de execução contratual serão cobradas 100% das metas.</w:t>
      </w:r>
    </w:p>
    <w:p w14:paraId="7A7B905D" w14:textId="715E472E" w:rsidR="003C2ACF" w:rsidRPr="003C2ACF" w:rsidRDefault="003C2ACF" w:rsidP="003C2ACF">
      <w:pPr>
        <w:pStyle w:val="ListParagraph"/>
        <w:tabs>
          <w:tab w:val="left" w:pos="0"/>
        </w:tabs>
        <w:spacing w:line="276" w:lineRule="auto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849C699" w14:textId="77777777" w:rsidR="003C2ACF" w:rsidRDefault="003C2ACF" w:rsidP="003C2AC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6A5FA996" w14:textId="30B347E2" w:rsidR="003C2ACF" w:rsidRPr="003C2ACF" w:rsidRDefault="003C2ACF" w:rsidP="003C2AC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Metodologia de Cálculo do IMR</w:t>
      </w:r>
    </w:p>
    <w:p w14:paraId="500F2881" w14:textId="77777777" w:rsidR="003C2ACF" w:rsidRDefault="003C2ACF" w:rsidP="003C2AC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2.1.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IMR – Instrumento de Medição de Resultados será calculado a partir da tabela a seguir: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17BF9E47" w14:textId="77777777" w:rsidR="003C2ACF" w:rsidRDefault="003C2ACF" w:rsidP="003C2ACF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É desejado que a Contratada atinja a faixa de adequação “A” para todas as medições mensais consideradas, caracterizando o atingimento da meta preestabelecida e, consequentemente, não ensejando qualquer desconto.</w:t>
      </w:r>
    </w:p>
    <w:p w14:paraId="45F5E211" w14:textId="2D27C284" w:rsidR="003C2ACF" w:rsidRDefault="003C2ACF" w:rsidP="003C2ACF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O IMR será calculado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em função do percentual de atendimento às metas, conforme tabela do item a seguir. Caso não seja atingido o nível de execução esperado para o escopo de fornecimento, a empresa CONTRATADA terá desconto no valor a ser pago mensalmente pela CONTRATANTE.</w:t>
      </w:r>
    </w:p>
    <w:p w14:paraId="695E08AF" w14:textId="77777777" w:rsidR="003C2ACF" w:rsidRPr="003C2ACF" w:rsidRDefault="003C2ACF" w:rsidP="003C2AC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leGrid0"/>
        <w:tblW w:w="8493" w:type="dxa"/>
        <w:tblInd w:w="6" w:type="dxa"/>
        <w:tblCellMar>
          <w:top w:w="33" w:type="dxa"/>
          <w:left w:w="133" w:type="dxa"/>
          <w:right w:w="82" w:type="dxa"/>
        </w:tblCellMar>
        <w:tblLook w:val="04A0" w:firstRow="1" w:lastRow="0" w:firstColumn="1" w:lastColumn="0" w:noHBand="0" w:noVBand="1"/>
      </w:tblPr>
      <w:tblGrid>
        <w:gridCol w:w="4246"/>
        <w:gridCol w:w="4247"/>
      </w:tblGrid>
      <w:tr w:rsidR="00D4384D" w14:paraId="0B054863" w14:textId="77777777" w:rsidTr="00426163">
        <w:trPr>
          <w:trHeight w:val="462"/>
        </w:trPr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02081474" w14:textId="77777777" w:rsidR="00D4384D" w:rsidRDefault="00D4384D" w:rsidP="00426163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INDICADOR 1: QUALIDADE NA PRESTAÇÃO DOS SERVIÇOS </w:t>
            </w:r>
          </w:p>
        </w:tc>
      </w:tr>
      <w:tr w:rsidR="00D4384D" w14:paraId="0D677957" w14:textId="77777777" w:rsidTr="00426163">
        <w:trPr>
          <w:trHeight w:val="462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B6B1D1" w14:textId="77777777" w:rsidR="00D4384D" w:rsidRDefault="00D4384D" w:rsidP="00426163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ITEM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FD08412" w14:textId="77777777" w:rsidR="00D4384D" w:rsidRDefault="00D4384D" w:rsidP="00426163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DESCRIÇÃO </w:t>
            </w:r>
          </w:p>
        </w:tc>
      </w:tr>
      <w:tr w:rsidR="00D4384D" w14:paraId="1B6C1270" w14:textId="77777777" w:rsidTr="00426163">
        <w:trPr>
          <w:trHeight w:val="692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A711" w14:textId="77777777" w:rsidR="00D4384D" w:rsidRDefault="00D4384D" w:rsidP="00426163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FINALIDADE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144F" w14:textId="77777777" w:rsidR="00D4384D" w:rsidRDefault="00D4384D" w:rsidP="0042616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Garantir o nível de qualidade global na prestação do serviço. </w:t>
            </w:r>
          </w:p>
        </w:tc>
      </w:tr>
      <w:tr w:rsidR="00D4384D" w14:paraId="3C90A6FB" w14:textId="77777777" w:rsidTr="00426163">
        <w:trPr>
          <w:trHeight w:val="634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105B" w14:textId="77777777" w:rsidR="00D4384D" w:rsidRDefault="00D4384D" w:rsidP="00426163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META A CUMPRIR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3958" w14:textId="77777777" w:rsidR="00D4384D" w:rsidRDefault="00D4384D" w:rsidP="00426163">
            <w:pPr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Nível máximo de pontualidade e qualidade. </w:t>
            </w:r>
          </w:p>
        </w:tc>
      </w:tr>
      <w:tr w:rsidR="00D4384D" w14:paraId="3CD9D75B" w14:textId="77777777" w:rsidTr="00426163">
        <w:trPr>
          <w:trHeight w:val="114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C600" w14:textId="77777777" w:rsidR="00D4384D" w:rsidRDefault="00D4384D" w:rsidP="00426163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INSTRUMENTO DE MEDIÇÃO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A72C" w14:textId="77777777" w:rsidR="00D4384D" w:rsidRDefault="00D4384D" w:rsidP="00426163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Constatação formal de ocorrências mediante fiscalização e relatório de acompanhamento </w:t>
            </w:r>
          </w:p>
          <w:p w14:paraId="79E40D29" w14:textId="77777777" w:rsidR="00D4384D" w:rsidRDefault="00D4384D" w:rsidP="0042616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contratual que relata os prazos da execução e a prestação do serviço. </w:t>
            </w:r>
          </w:p>
        </w:tc>
      </w:tr>
      <w:tr w:rsidR="00D4384D" w14:paraId="3BFF51BB" w14:textId="77777777" w:rsidTr="00426163">
        <w:trPr>
          <w:trHeight w:val="746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8279" w14:textId="77777777" w:rsidR="00D4384D" w:rsidRDefault="00D4384D" w:rsidP="0042616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FORMA DE ACOMPANHAMENTO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0936" w14:textId="77777777" w:rsidR="00D4384D" w:rsidRDefault="00D4384D" w:rsidP="0042616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Fiscalização pelos fiscais de contrato e de execução de serviço. </w:t>
            </w:r>
          </w:p>
        </w:tc>
      </w:tr>
      <w:tr w:rsidR="00D4384D" w14:paraId="73A5BDB0" w14:textId="77777777" w:rsidTr="00426163">
        <w:trPr>
          <w:trHeight w:val="746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491A" w14:textId="77777777" w:rsidR="00D4384D" w:rsidRDefault="00D4384D" w:rsidP="00426163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PERIODICIDADE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3FF1" w14:textId="77777777" w:rsidR="00D4384D" w:rsidRDefault="00D4384D" w:rsidP="00426163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Mensal. </w:t>
            </w:r>
          </w:p>
        </w:tc>
      </w:tr>
      <w:tr w:rsidR="00D4384D" w14:paraId="6C4B81C3" w14:textId="77777777" w:rsidTr="00426163">
        <w:trPr>
          <w:trHeight w:val="74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1188" w14:textId="77777777" w:rsidR="00D4384D" w:rsidRDefault="00D4384D" w:rsidP="00426163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MECANISMO DE CÁLCULO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6D56" w14:textId="77777777" w:rsidR="00D4384D" w:rsidRDefault="00D4384D" w:rsidP="0042616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Constatação de ocorrências no mês de referência. </w:t>
            </w:r>
          </w:p>
        </w:tc>
      </w:tr>
      <w:tr w:rsidR="00D4384D" w14:paraId="1D8FABE1" w14:textId="77777777" w:rsidTr="00426163">
        <w:trPr>
          <w:trHeight w:val="747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0A0E" w14:textId="77777777" w:rsidR="00D4384D" w:rsidRDefault="00D4384D" w:rsidP="00426163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INÍCIO DA VIGÊNCIA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8A6F" w14:textId="77777777" w:rsidR="00D4384D" w:rsidRDefault="00D4384D" w:rsidP="0042616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 partir da assinatura do contrato e início da prestação do serviço. </w:t>
            </w:r>
          </w:p>
        </w:tc>
      </w:tr>
      <w:tr w:rsidR="00D4384D" w14:paraId="4DB77787" w14:textId="77777777" w:rsidTr="00426163">
        <w:trPr>
          <w:trHeight w:val="518"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8B44" w14:textId="77777777" w:rsidR="00D4384D" w:rsidRDefault="00D4384D" w:rsidP="0042616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FAIXAS DE AJUSTE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6FD8" w14:textId="77777777" w:rsidR="00D4384D" w:rsidRDefault="00D4384D" w:rsidP="0042616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Até 1 ocorrência = Pagamento de 100% do valor devido. </w:t>
            </w:r>
          </w:p>
        </w:tc>
      </w:tr>
      <w:tr w:rsidR="00D4384D" w14:paraId="5F02F69C" w14:textId="77777777" w:rsidTr="00426163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14984" w14:textId="77777777" w:rsidR="00D4384D" w:rsidRDefault="00D4384D" w:rsidP="00426163"/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0DC5" w14:textId="77777777" w:rsidR="00D4384D" w:rsidRDefault="00D4384D" w:rsidP="0042616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Até 2 ocorrências = Pagamento de 99% do valor devido. </w:t>
            </w:r>
          </w:p>
        </w:tc>
      </w:tr>
      <w:tr w:rsidR="00D4384D" w14:paraId="4A94AA2F" w14:textId="77777777" w:rsidTr="00426163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BB9C8" w14:textId="77777777" w:rsidR="00D4384D" w:rsidRDefault="00D4384D" w:rsidP="00426163"/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F1D8" w14:textId="77777777" w:rsidR="00D4384D" w:rsidRDefault="00D4384D" w:rsidP="0042616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Até 3 ocorrências = Pagamento de 98% do valor devido. </w:t>
            </w:r>
          </w:p>
        </w:tc>
      </w:tr>
      <w:tr w:rsidR="00D4384D" w14:paraId="2F6E64BE" w14:textId="77777777" w:rsidTr="00426163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A830" w14:textId="77777777" w:rsidR="00D4384D" w:rsidRDefault="00D4384D" w:rsidP="00426163"/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0E7C" w14:textId="77777777" w:rsidR="00D4384D" w:rsidRDefault="00D4384D" w:rsidP="0042616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Até 4 ocorrências = Pagamento de 97% do valor devido. </w:t>
            </w:r>
          </w:p>
        </w:tc>
      </w:tr>
      <w:tr w:rsidR="00D4384D" w14:paraId="3F5DC50C" w14:textId="77777777" w:rsidTr="00426163">
        <w:trPr>
          <w:trHeight w:val="74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A19E" w14:textId="77777777" w:rsidR="00D4384D" w:rsidRDefault="00D4384D" w:rsidP="00426163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SANÇÕES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0702" w14:textId="77777777" w:rsidR="00D4384D" w:rsidRDefault="00D4384D" w:rsidP="00426163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Conforme previsto no Termo de Referência. </w:t>
            </w:r>
          </w:p>
        </w:tc>
      </w:tr>
    </w:tbl>
    <w:p w14:paraId="3258B57A" w14:textId="4B291CA4" w:rsidR="003C2ACF" w:rsidRDefault="003C2ACF" w:rsidP="003C2ACF">
      <w:pPr>
        <w:pStyle w:val="ListParagraph"/>
        <w:tabs>
          <w:tab w:val="left" w:pos="0"/>
        </w:tabs>
        <w:ind w:left="426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TableGrid0"/>
        <w:tblW w:w="8493" w:type="dxa"/>
        <w:tblInd w:w="6" w:type="dxa"/>
        <w:tblCellMar>
          <w:top w:w="33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4246"/>
        <w:gridCol w:w="4247"/>
      </w:tblGrid>
      <w:tr w:rsidR="00D4384D" w14:paraId="2B49532A" w14:textId="77777777" w:rsidTr="00426163">
        <w:trPr>
          <w:trHeight w:val="464"/>
        </w:trPr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69EC5A19" w14:textId="77777777" w:rsidR="00D4384D" w:rsidRDefault="00D4384D" w:rsidP="00426163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INDICADOR 2: TEMPO DE RESPOSTA ÀS SOLICITAÇÕES DA CONTRATANTE </w:t>
            </w:r>
          </w:p>
        </w:tc>
      </w:tr>
      <w:tr w:rsidR="00D4384D" w14:paraId="2C728884" w14:textId="77777777" w:rsidTr="00426163">
        <w:trPr>
          <w:trHeight w:val="462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708432E" w14:textId="77777777" w:rsidR="00D4384D" w:rsidRDefault="00D4384D" w:rsidP="00426163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ITEM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3061C25" w14:textId="77777777" w:rsidR="00D4384D" w:rsidRDefault="00D4384D" w:rsidP="00426163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DESCRIÇÃO </w:t>
            </w:r>
          </w:p>
        </w:tc>
      </w:tr>
      <w:tr w:rsidR="00D4384D" w14:paraId="5261AA48" w14:textId="77777777" w:rsidTr="00426163">
        <w:trPr>
          <w:trHeight w:val="976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F7F6" w14:textId="77777777" w:rsidR="00D4384D" w:rsidRDefault="00D4384D" w:rsidP="00426163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FINALIDADE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6133" w14:textId="77777777" w:rsidR="00D4384D" w:rsidRDefault="00D4384D" w:rsidP="0042616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Mensurar o atendimento às solicitações e execução dos serviços contratados. </w:t>
            </w:r>
          </w:p>
        </w:tc>
      </w:tr>
      <w:tr w:rsidR="00D4384D" w14:paraId="32F9E635" w14:textId="77777777" w:rsidTr="00426163">
        <w:trPr>
          <w:trHeight w:val="85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E744F" w14:textId="77777777" w:rsidR="00D4384D" w:rsidRDefault="00D4384D" w:rsidP="00426163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META A CUMPRIR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C09C" w14:textId="77777777" w:rsidR="00D4384D" w:rsidRDefault="00D4384D" w:rsidP="0042616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Atendimento célere às solicitações em até 24 horas.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D4384D" w14:paraId="40F59136" w14:textId="77777777" w:rsidTr="00426163">
        <w:trPr>
          <w:trHeight w:val="114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484F" w14:textId="77777777" w:rsidR="00D4384D" w:rsidRDefault="00D4384D" w:rsidP="00426163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INSTRUMENTO DE MEDIÇÃO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DC5D" w14:textId="77777777" w:rsidR="00D4384D" w:rsidRDefault="00D4384D" w:rsidP="00426163">
            <w:pPr>
              <w:ind w:left="18" w:right="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Constatação formal de ocorrências que relata os prazos da execução e a prestação do serviço. </w:t>
            </w:r>
          </w:p>
        </w:tc>
      </w:tr>
      <w:tr w:rsidR="00D4384D" w14:paraId="00DE852F" w14:textId="77777777" w:rsidTr="00426163">
        <w:trPr>
          <w:trHeight w:val="746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8BA7" w14:textId="77777777" w:rsidR="00D4384D" w:rsidRDefault="00D4384D" w:rsidP="00426163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FORMA DE ACOMPANHAMENTO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40A4" w14:textId="77777777" w:rsidR="00D4384D" w:rsidRDefault="00D4384D" w:rsidP="0042616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Fiscalização pelos fiscais de contrato e de execução de serviço. </w:t>
            </w:r>
          </w:p>
        </w:tc>
      </w:tr>
      <w:tr w:rsidR="00D4384D" w14:paraId="5A1F0558" w14:textId="77777777" w:rsidTr="00426163">
        <w:trPr>
          <w:trHeight w:val="57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18FD" w14:textId="77777777" w:rsidR="00D4384D" w:rsidRDefault="00D4384D" w:rsidP="00426163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PERIODICIDADE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959B" w14:textId="77777777" w:rsidR="00D4384D" w:rsidRDefault="00D4384D" w:rsidP="00426163">
            <w:pPr>
              <w:ind w:righ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Mensal. </w:t>
            </w:r>
          </w:p>
        </w:tc>
      </w:tr>
      <w:tr w:rsidR="00D4384D" w14:paraId="5871140D" w14:textId="77777777" w:rsidTr="00426163">
        <w:trPr>
          <w:trHeight w:val="746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D6FC" w14:textId="77777777" w:rsidR="00D4384D" w:rsidRDefault="00D4384D" w:rsidP="00426163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MECANISMO DE CÁLCULO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6F78" w14:textId="77777777" w:rsidR="00D4384D" w:rsidRDefault="00D4384D" w:rsidP="00426163">
            <w:pPr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Verificação da quantidade de ocorrências registradas com tempo de resposta superior à meta. </w:t>
            </w:r>
          </w:p>
        </w:tc>
      </w:tr>
      <w:tr w:rsidR="00D4384D" w14:paraId="7E61869D" w14:textId="77777777" w:rsidTr="00426163">
        <w:trPr>
          <w:trHeight w:val="747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1F2D" w14:textId="77777777" w:rsidR="00D4384D" w:rsidRDefault="00D4384D" w:rsidP="00426163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INÍCIO DA VIGÊNCIA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BCC3" w14:textId="77777777" w:rsidR="00D4384D" w:rsidRDefault="00D4384D" w:rsidP="0042616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 partir da assinatura do contrato e início da prestação do serviço. </w:t>
            </w:r>
          </w:p>
        </w:tc>
      </w:tr>
      <w:tr w:rsidR="00D4384D" w14:paraId="6F5BE104" w14:textId="77777777" w:rsidTr="00426163">
        <w:trPr>
          <w:trHeight w:val="521"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25F3" w14:textId="77777777" w:rsidR="00D4384D" w:rsidRDefault="00D4384D" w:rsidP="00426163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FAIXAS DE AJUSTE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D14B" w14:textId="77777777" w:rsidR="00D4384D" w:rsidRDefault="00D4384D" w:rsidP="0042616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Tempo de resposta até 24h = Pagamento de 100% do valor devido. </w:t>
            </w:r>
          </w:p>
        </w:tc>
      </w:tr>
      <w:tr w:rsidR="00D4384D" w14:paraId="44CFA0E0" w14:textId="77777777" w:rsidTr="00426163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44E31" w14:textId="77777777" w:rsidR="00D4384D" w:rsidRDefault="00D4384D" w:rsidP="00426163"/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6B78" w14:textId="77777777" w:rsidR="00D4384D" w:rsidRDefault="00D4384D" w:rsidP="0042616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Tempo de resposta até 48h = Pagamento de 99% do valor devido. </w:t>
            </w:r>
          </w:p>
        </w:tc>
      </w:tr>
      <w:tr w:rsidR="00D4384D" w14:paraId="01E1B4DA" w14:textId="77777777" w:rsidTr="00426163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5B99BF" w14:textId="77777777" w:rsidR="00D4384D" w:rsidRDefault="00D4384D" w:rsidP="00426163"/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3591" w14:textId="77777777" w:rsidR="00D4384D" w:rsidRDefault="00D4384D" w:rsidP="0042616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Tempo de resposta até 72h = Pagamento de 98% do valor devido. </w:t>
            </w:r>
          </w:p>
        </w:tc>
      </w:tr>
      <w:tr w:rsidR="00D4384D" w14:paraId="5C3905C6" w14:textId="77777777" w:rsidTr="00426163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B303" w14:textId="77777777" w:rsidR="00D4384D" w:rsidRDefault="00D4384D" w:rsidP="00426163"/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4D31" w14:textId="77777777" w:rsidR="00D4384D" w:rsidRDefault="00D4384D" w:rsidP="0042616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Tempo de resposta superior a 72h = Pagamento de 95% do valor devido. </w:t>
            </w:r>
          </w:p>
        </w:tc>
      </w:tr>
      <w:tr w:rsidR="00D4384D" w14:paraId="4B1D0D0B" w14:textId="77777777" w:rsidTr="00426163">
        <w:trPr>
          <w:trHeight w:val="746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66E2" w14:textId="77777777" w:rsidR="00D4384D" w:rsidRDefault="00D4384D" w:rsidP="00426163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SANÇÕES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9970" w14:textId="77777777" w:rsidR="00D4384D" w:rsidRDefault="00D4384D" w:rsidP="00426163">
            <w:pPr>
              <w:ind w:left="60"/>
            </w:pPr>
            <w:r>
              <w:rPr>
                <w:rFonts w:ascii="Arial" w:eastAsia="Arial" w:hAnsi="Arial" w:cs="Arial"/>
                <w:sz w:val="20"/>
              </w:rPr>
              <w:t xml:space="preserve">Conforme previsto no Termo de Referência. </w:t>
            </w:r>
          </w:p>
        </w:tc>
      </w:tr>
    </w:tbl>
    <w:p w14:paraId="35E2730E" w14:textId="77777777" w:rsidR="00D4384D" w:rsidRDefault="00D4384D" w:rsidP="003C2ACF">
      <w:pPr>
        <w:pStyle w:val="ListParagraph"/>
        <w:tabs>
          <w:tab w:val="left" w:pos="0"/>
        </w:tabs>
        <w:ind w:left="426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033CA27D" w14:textId="77777777" w:rsidR="003C2ACF" w:rsidRDefault="003C2ACF" w:rsidP="003C2ACF">
      <w:pPr>
        <w:pStyle w:val="ListParagraph"/>
        <w:tabs>
          <w:tab w:val="left" w:pos="0"/>
        </w:tabs>
        <w:ind w:left="426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07B5B03D" w14:textId="77777777" w:rsidR="003C2ACF" w:rsidRPr="003C2ACF" w:rsidRDefault="003C2ACF" w:rsidP="003C2AC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NOTAS:</w:t>
      </w:r>
    </w:p>
    <w:p w14:paraId="7ACD6CAD" w14:textId="77777777" w:rsidR="003C2ACF" w:rsidRDefault="003C2ACF" w:rsidP="003C2AC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1)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O desconto realizado em função do IMR não impede outras penalidades por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descumprimentos contratuais de aspectos não relacionados ao mesmo.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20A1FC84" w14:textId="6A9B5846" w:rsidR="003C2ACF" w:rsidRPr="003C2ACF" w:rsidRDefault="003C2ACF" w:rsidP="003C2AC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2A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2)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Deverão ser descontadas do cálculo IMR os itens previstos não executados por falta da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Contratante e/ou de ações alheias à capacidade de atuação da Contratada, conforme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C2ACF">
        <w:rPr>
          <w:rFonts w:asciiTheme="minorHAnsi" w:eastAsiaTheme="minorHAnsi" w:hAnsiTheme="minorHAnsi" w:cstheme="minorHAnsi"/>
          <w:sz w:val="22"/>
          <w:szCs w:val="22"/>
          <w:lang w:eastAsia="en-US"/>
        </w:rPr>
        <w:t>julgamento da Fiscalização do Contrato.</w:t>
      </w:r>
      <w:bookmarkStart w:id="2" w:name="_GoBack"/>
      <w:bookmarkEnd w:id="2"/>
    </w:p>
    <w:sectPr w:rsidR="003C2ACF" w:rsidRPr="003C2ACF" w:rsidSect="003C2ACF">
      <w:footerReference w:type="default" r:id="rId10"/>
      <w:pgSz w:w="11906" w:h="16838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92D8B" w14:textId="77777777" w:rsidR="00292E9B" w:rsidRDefault="00292E9B" w:rsidP="00A116FB">
      <w:r>
        <w:separator/>
      </w:r>
    </w:p>
  </w:endnote>
  <w:endnote w:type="continuationSeparator" w:id="0">
    <w:p w14:paraId="0D226E88" w14:textId="77777777" w:rsidR="00292E9B" w:rsidRDefault="00292E9B" w:rsidP="00A1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85159" w14:textId="6F647B13" w:rsidR="005E4DB5" w:rsidRPr="005E4DB5" w:rsidRDefault="004C7509">
    <w:pPr>
      <w:pStyle w:val="Footer"/>
      <w:rPr>
        <w:rFonts w:asciiTheme="minorHAnsi" w:hAnsiTheme="minorHAnsi" w:cstheme="minorHAnsi"/>
        <w:i/>
        <w:iCs/>
        <w:sz w:val="20"/>
        <w:szCs w:val="20"/>
      </w:rPr>
    </w:pPr>
    <w:r>
      <w:rPr>
        <w:rFonts w:asciiTheme="minorHAnsi" w:hAnsiTheme="minorHAnsi" w:cstheme="minorHAnsi"/>
        <w:i/>
        <w:iCs/>
        <w:sz w:val="20"/>
        <w:szCs w:val="20"/>
      </w:rPr>
      <w:fldChar w:fldCharType="begin"/>
    </w:r>
    <w:r>
      <w:rPr>
        <w:rFonts w:asciiTheme="minorHAnsi" w:hAnsiTheme="minorHAnsi" w:cstheme="minorHAnsi"/>
        <w:i/>
        <w:iCs/>
        <w:sz w:val="20"/>
        <w:szCs w:val="20"/>
      </w:rPr>
      <w:instrText xml:space="preserve"> FILENAME \* MERGEFORMAT </w:instrText>
    </w:r>
    <w:r>
      <w:rPr>
        <w:rFonts w:asciiTheme="minorHAnsi" w:hAnsiTheme="minorHAnsi" w:cstheme="minorHAnsi"/>
        <w:i/>
        <w:iCs/>
        <w:sz w:val="20"/>
        <w:szCs w:val="20"/>
      </w:rPr>
      <w:fldChar w:fldCharType="separate"/>
    </w:r>
    <w:r w:rsidR="009E1F3E">
      <w:rPr>
        <w:rFonts w:asciiTheme="minorHAnsi" w:hAnsiTheme="minorHAnsi" w:cstheme="minorHAnsi"/>
        <w:i/>
        <w:iCs/>
        <w:noProof/>
        <w:sz w:val="20"/>
        <w:szCs w:val="20"/>
      </w:rPr>
      <w:t>5. Anexo III - PE 61-2023 - IMR</w:t>
    </w:r>
    <w:r>
      <w:rPr>
        <w:rFonts w:asciiTheme="minorHAnsi" w:hAnsiTheme="minorHAnsi" w:cstheme="minorHAnsi"/>
        <w:i/>
        <w:iCs/>
        <w:sz w:val="20"/>
        <w:szCs w:val="20"/>
      </w:rPr>
      <w:fldChar w:fldCharType="end"/>
    </w:r>
    <w:r w:rsidR="005E4DB5">
      <w:rPr>
        <w:rFonts w:asciiTheme="minorHAnsi" w:hAnsiTheme="minorHAnsi" w:cstheme="minorHAnsi"/>
        <w:i/>
        <w:iCs/>
        <w:sz w:val="20"/>
        <w:szCs w:val="20"/>
      </w:rPr>
      <w:tab/>
    </w:r>
    <w:r w:rsidR="005E4DB5">
      <w:rPr>
        <w:rFonts w:asciiTheme="minorHAnsi" w:hAnsiTheme="minorHAnsi" w:cstheme="minorHAnsi"/>
        <w:i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134FE" w14:textId="77777777" w:rsidR="00292E9B" w:rsidRDefault="00292E9B" w:rsidP="00A116FB">
      <w:r>
        <w:separator/>
      </w:r>
    </w:p>
  </w:footnote>
  <w:footnote w:type="continuationSeparator" w:id="0">
    <w:p w14:paraId="6E2CE85A" w14:textId="77777777" w:rsidR="00292E9B" w:rsidRDefault="00292E9B" w:rsidP="00A11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0546"/>
    <w:multiLevelType w:val="hybridMultilevel"/>
    <w:tmpl w:val="E9423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6320D"/>
    <w:multiLevelType w:val="multilevel"/>
    <w:tmpl w:val="438EF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91F"/>
    <w:multiLevelType w:val="multilevel"/>
    <w:tmpl w:val="42180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3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B47311"/>
    <w:multiLevelType w:val="hybridMultilevel"/>
    <w:tmpl w:val="5CDE42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D2B71"/>
    <w:multiLevelType w:val="hybridMultilevel"/>
    <w:tmpl w:val="33B29EFA"/>
    <w:lvl w:ilvl="0" w:tplc="0E5C40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D6206F"/>
    <w:multiLevelType w:val="multilevel"/>
    <w:tmpl w:val="F9B8CC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463600"/>
    <w:multiLevelType w:val="hybridMultilevel"/>
    <w:tmpl w:val="CA965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42016"/>
    <w:multiLevelType w:val="multilevel"/>
    <w:tmpl w:val="CED8C77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107027"/>
    <w:multiLevelType w:val="hybridMultilevel"/>
    <w:tmpl w:val="9E64C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F203F"/>
    <w:multiLevelType w:val="hybridMultilevel"/>
    <w:tmpl w:val="19BCB39E"/>
    <w:lvl w:ilvl="0" w:tplc="B4302D8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2C455C"/>
    <w:multiLevelType w:val="hybridMultilevel"/>
    <w:tmpl w:val="4816DEF8"/>
    <w:lvl w:ilvl="0" w:tplc="D68EAC6C">
      <w:start w:val="1"/>
      <w:numFmt w:val="lowerLetter"/>
      <w:lvlText w:val="%1)"/>
      <w:lvlJc w:val="left"/>
      <w:pPr>
        <w:ind w:left="43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CD3D72"/>
    <w:multiLevelType w:val="hybridMultilevel"/>
    <w:tmpl w:val="A3486B6A"/>
    <w:lvl w:ilvl="0" w:tplc="C3F8AE5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724BD"/>
    <w:multiLevelType w:val="multilevel"/>
    <w:tmpl w:val="438EF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82894"/>
    <w:multiLevelType w:val="multilevel"/>
    <w:tmpl w:val="42180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3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E592784"/>
    <w:multiLevelType w:val="multilevel"/>
    <w:tmpl w:val="D6446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D3978"/>
    <w:multiLevelType w:val="multilevel"/>
    <w:tmpl w:val="CED8C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9D57F06"/>
    <w:multiLevelType w:val="hybridMultilevel"/>
    <w:tmpl w:val="A9FCD51C"/>
    <w:lvl w:ilvl="0" w:tplc="4D9CC0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BA6E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925BBC"/>
    <w:multiLevelType w:val="multilevel"/>
    <w:tmpl w:val="C31C7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3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239764B"/>
    <w:multiLevelType w:val="hybridMultilevel"/>
    <w:tmpl w:val="2E025388"/>
    <w:lvl w:ilvl="0" w:tplc="11A43D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6B916D7"/>
    <w:multiLevelType w:val="hybridMultilevel"/>
    <w:tmpl w:val="BB0AE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F3F0E"/>
    <w:multiLevelType w:val="hybridMultilevel"/>
    <w:tmpl w:val="451CC440"/>
    <w:lvl w:ilvl="0" w:tplc="B11873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2"/>
  </w:num>
  <w:num w:numId="5">
    <w:abstractNumId w:val="1"/>
  </w:num>
  <w:num w:numId="6">
    <w:abstractNumId w:val="14"/>
  </w:num>
  <w:num w:numId="7">
    <w:abstractNumId w:val="17"/>
  </w:num>
  <w:num w:numId="8">
    <w:abstractNumId w:val="13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9"/>
  </w:num>
  <w:num w:numId="15">
    <w:abstractNumId w:val="16"/>
  </w:num>
  <w:num w:numId="16">
    <w:abstractNumId w:val="9"/>
  </w:num>
  <w:num w:numId="17">
    <w:abstractNumId w:val="4"/>
  </w:num>
  <w:num w:numId="18">
    <w:abstractNumId w:val="21"/>
  </w:num>
  <w:num w:numId="19">
    <w:abstractNumId w:val="20"/>
  </w:num>
  <w:num w:numId="20">
    <w:abstractNumId w:val="5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C4"/>
    <w:rsid w:val="00004E30"/>
    <w:rsid w:val="000239F4"/>
    <w:rsid w:val="0003130F"/>
    <w:rsid w:val="0003496D"/>
    <w:rsid w:val="000523CA"/>
    <w:rsid w:val="000B6DD4"/>
    <w:rsid w:val="000E4812"/>
    <w:rsid w:val="000F4C20"/>
    <w:rsid w:val="00106F74"/>
    <w:rsid w:val="00112692"/>
    <w:rsid w:val="001149FE"/>
    <w:rsid w:val="00125AF5"/>
    <w:rsid w:val="001347A0"/>
    <w:rsid w:val="00146AC4"/>
    <w:rsid w:val="00150B06"/>
    <w:rsid w:val="00153CB1"/>
    <w:rsid w:val="00185559"/>
    <w:rsid w:val="001E33C4"/>
    <w:rsid w:val="00232D24"/>
    <w:rsid w:val="002764D1"/>
    <w:rsid w:val="00292E9B"/>
    <w:rsid w:val="002D315C"/>
    <w:rsid w:val="002E3C88"/>
    <w:rsid w:val="002F3AB3"/>
    <w:rsid w:val="002F63BF"/>
    <w:rsid w:val="003229E7"/>
    <w:rsid w:val="003811FD"/>
    <w:rsid w:val="003B716D"/>
    <w:rsid w:val="003C2ACF"/>
    <w:rsid w:val="003D48BF"/>
    <w:rsid w:val="003F7B77"/>
    <w:rsid w:val="00400A94"/>
    <w:rsid w:val="00425222"/>
    <w:rsid w:val="00441A6E"/>
    <w:rsid w:val="004500FD"/>
    <w:rsid w:val="00474BEB"/>
    <w:rsid w:val="004C7509"/>
    <w:rsid w:val="004D323F"/>
    <w:rsid w:val="004F49C2"/>
    <w:rsid w:val="00505200"/>
    <w:rsid w:val="005224BB"/>
    <w:rsid w:val="0057035B"/>
    <w:rsid w:val="005913FE"/>
    <w:rsid w:val="005B1931"/>
    <w:rsid w:val="005C1E22"/>
    <w:rsid w:val="005E1ACB"/>
    <w:rsid w:val="005E4DB5"/>
    <w:rsid w:val="00606C14"/>
    <w:rsid w:val="00635738"/>
    <w:rsid w:val="006726D7"/>
    <w:rsid w:val="00672A05"/>
    <w:rsid w:val="00676FA4"/>
    <w:rsid w:val="00697934"/>
    <w:rsid w:val="006C3158"/>
    <w:rsid w:val="00710F68"/>
    <w:rsid w:val="007326A7"/>
    <w:rsid w:val="00746448"/>
    <w:rsid w:val="00761918"/>
    <w:rsid w:val="00777603"/>
    <w:rsid w:val="00783B66"/>
    <w:rsid w:val="00792BA7"/>
    <w:rsid w:val="007B4C1C"/>
    <w:rsid w:val="007C7C62"/>
    <w:rsid w:val="007F4B2B"/>
    <w:rsid w:val="00806BDC"/>
    <w:rsid w:val="00821189"/>
    <w:rsid w:val="008B6A77"/>
    <w:rsid w:val="008F0018"/>
    <w:rsid w:val="00906151"/>
    <w:rsid w:val="009956B1"/>
    <w:rsid w:val="00997ED6"/>
    <w:rsid w:val="009A1D81"/>
    <w:rsid w:val="009E1F3E"/>
    <w:rsid w:val="009F46EC"/>
    <w:rsid w:val="00A03318"/>
    <w:rsid w:val="00A116FB"/>
    <w:rsid w:val="00A11BC2"/>
    <w:rsid w:val="00A36CE3"/>
    <w:rsid w:val="00A6222D"/>
    <w:rsid w:val="00A74E78"/>
    <w:rsid w:val="00AB2F4F"/>
    <w:rsid w:val="00AC3D95"/>
    <w:rsid w:val="00AE3D56"/>
    <w:rsid w:val="00B3224C"/>
    <w:rsid w:val="00B541F6"/>
    <w:rsid w:val="00B731D5"/>
    <w:rsid w:val="00B75C81"/>
    <w:rsid w:val="00B7769F"/>
    <w:rsid w:val="00BB09BB"/>
    <w:rsid w:val="00BB0CF6"/>
    <w:rsid w:val="00BF709A"/>
    <w:rsid w:val="00C27039"/>
    <w:rsid w:val="00C30570"/>
    <w:rsid w:val="00C40D25"/>
    <w:rsid w:val="00C42008"/>
    <w:rsid w:val="00C42086"/>
    <w:rsid w:val="00C425E0"/>
    <w:rsid w:val="00C6037F"/>
    <w:rsid w:val="00C73C68"/>
    <w:rsid w:val="00C80011"/>
    <w:rsid w:val="00C923B7"/>
    <w:rsid w:val="00C93BFF"/>
    <w:rsid w:val="00CC78BD"/>
    <w:rsid w:val="00CD1813"/>
    <w:rsid w:val="00CE3964"/>
    <w:rsid w:val="00CE5121"/>
    <w:rsid w:val="00CF1E5C"/>
    <w:rsid w:val="00D4384D"/>
    <w:rsid w:val="00D97F19"/>
    <w:rsid w:val="00DA11D0"/>
    <w:rsid w:val="00DA229F"/>
    <w:rsid w:val="00DA5F31"/>
    <w:rsid w:val="00DC77CF"/>
    <w:rsid w:val="00DD5D63"/>
    <w:rsid w:val="00E6083F"/>
    <w:rsid w:val="00E94B74"/>
    <w:rsid w:val="00EB2D38"/>
    <w:rsid w:val="00EC3E01"/>
    <w:rsid w:val="00F41FB6"/>
    <w:rsid w:val="00F46A4B"/>
    <w:rsid w:val="00F571CB"/>
    <w:rsid w:val="00F60A70"/>
    <w:rsid w:val="00F66CB8"/>
    <w:rsid w:val="00F83778"/>
    <w:rsid w:val="00FA0C57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E20CE8"/>
  <w15:docId w15:val="{155FE4A8-F191-485C-AEB5-CC1838D0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146AC4"/>
    <w:pPr>
      <w:keepNext/>
      <w:tabs>
        <w:tab w:val="left" w:pos="6284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6AC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rsid w:val="00146AC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A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146A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46AC4"/>
    <w:pPr>
      <w:suppressAutoHyphens/>
      <w:ind w:left="708"/>
    </w:pPr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116F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6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6E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39"/>
    <w:unhideWhenUsed/>
    <w:rsid w:val="00C4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C78BD"/>
    <w:rPr>
      <w:color w:val="808080"/>
    </w:rPr>
  </w:style>
  <w:style w:type="table" w:styleId="GridTable4-Accent1">
    <w:name w:val="Grid Table 4 Accent 1"/>
    <w:basedOn w:val="TableNormal"/>
    <w:uiPriority w:val="49"/>
    <w:rsid w:val="00606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C2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3C2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Light">
    <w:name w:val="Grid Table Light"/>
    <w:basedOn w:val="TableNormal"/>
    <w:uiPriority w:val="40"/>
    <w:rsid w:val="003C2AC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3C2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Grid"/>
    <w:rsid w:val="00D4384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808E-F08F-4052-B1E1-41F66563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João Aranha</cp:lastModifiedBy>
  <cp:revision>7</cp:revision>
  <cp:lastPrinted>2023-07-18T17:55:00Z</cp:lastPrinted>
  <dcterms:created xsi:type="dcterms:W3CDTF">2023-06-25T00:27:00Z</dcterms:created>
  <dcterms:modified xsi:type="dcterms:W3CDTF">2023-07-18T17:55:00Z</dcterms:modified>
</cp:coreProperties>
</file>