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rPr>
      </w:pPr>
    </w:p>
    <w:p>
      <w:pPr>
        <w:jc w:val="center"/>
        <w:rPr>
          <w:rFonts w:hint="eastAsia"/>
        </w:rPr>
      </w:pPr>
      <w:r>
        <mc:AlternateContent>
          <mc:Choice Requires="wpg">
            <w:drawing>
              <wp:anchor distT="0" distB="0" distL="114300" distR="114300" simplePos="0" relativeHeight="251661312" behindDoc="0" locked="0" layoutInCell="1" allowOverlap="1">
                <wp:simplePos x="0" y="0"/>
                <wp:positionH relativeFrom="column">
                  <wp:posOffset>210185</wp:posOffset>
                </wp:positionH>
                <wp:positionV relativeFrom="paragraph">
                  <wp:posOffset>-353060</wp:posOffset>
                </wp:positionV>
                <wp:extent cx="5791200" cy="1452245"/>
                <wp:effectExtent l="4445" t="4445" r="14605" b="10160"/>
                <wp:wrapNone/>
                <wp:docPr id="4" name="Grupo 4"/>
                <wp:cNvGraphicFramePr/>
                <a:graphic xmlns:a="http://schemas.openxmlformats.org/drawingml/2006/main">
                  <a:graphicData uri="http://schemas.microsoft.com/office/word/2010/wordprocessingGroup">
                    <wpg:wgp>
                      <wpg:cNvGrpSpPr/>
                      <wpg:grpSpPr>
                        <a:xfrm>
                          <a:off x="0" y="0"/>
                          <a:ext cx="5791200" cy="1452245"/>
                          <a:chOff x="4259" y="709"/>
                          <a:chExt cx="9120" cy="2287"/>
                        </a:xfrm>
                      </wpg:grpSpPr>
                      <wps:wsp>
                        <wps:cNvPr id="310" name="Retângulo 310"/>
                        <wps:cNvSpPr/>
                        <wps:spPr>
                          <a:xfrm>
                            <a:off x="4259" y="709"/>
                            <a:ext cx="9120" cy="2257"/>
                          </a:xfrm>
                          <a:prstGeom prst="rect">
                            <a:avLst/>
                          </a:prstGeom>
                          <a:noFill/>
                          <a:ln w="9525" cap="flat" cmpd="sng">
                            <a:solidFill>
                              <a:srgbClr val="000000"/>
                            </a:solidFill>
                            <a:prstDash val="solid"/>
                            <a:miter lim="800000"/>
                            <a:headEnd type="none" w="sm" len="sm"/>
                            <a:tailEnd type="none" w="sm" len="sm"/>
                          </a:ln>
                        </wps:spPr>
                        <wps:txbx>
                          <w:txbxContent>
                            <w:p>
                              <w:pPr>
                                <w:spacing w:line="275" w:lineRule="auto"/>
                                <w:jc w:val="right"/>
                                <w:rPr>
                                  <w:rFonts w:hint="eastAsia"/>
                                </w:rPr>
                              </w:pPr>
                              <w:r>
                                <w:rPr>
                                  <w:rFonts w:ascii="Calibri" w:hAnsi="Calibri" w:eastAsia="Calibri" w:cs="Calibri"/>
                                  <w:color w:val="000000"/>
                                  <w:sz w:val="22"/>
                                </w:rPr>
                                <w:t xml:space="preserve">                                                                                        </w:t>
                              </w:r>
                            </w:p>
                          </w:txbxContent>
                        </wps:txbx>
                        <wps:bodyPr spcFirstLastPara="1" wrap="square" lIns="91425" tIns="45700" rIns="91425" bIns="45700" anchor="t" anchorCtr="0">
                          <a:noAutofit/>
                        </wps:bodyPr>
                      </wps:wsp>
                      <wps:wsp>
                        <wps:cNvPr id="24" name="Retângulo 24"/>
                        <wps:cNvSpPr/>
                        <wps:spPr>
                          <a:xfrm>
                            <a:off x="4272" y="2401"/>
                            <a:ext cx="9105" cy="595"/>
                          </a:xfrm>
                          <a:prstGeom prst="rect">
                            <a:avLst/>
                          </a:prstGeom>
                          <a:solidFill>
                            <a:schemeClr val="accent1"/>
                          </a:solidFill>
                          <a:ln w="9525" cap="rnd" cmpd="sng">
                            <a:solidFill>
                              <a:srgbClr val="000000"/>
                            </a:solidFill>
                            <a:prstDash val="solid"/>
                            <a:round/>
                            <a:headEnd type="none" w="sm" len="sm"/>
                            <a:tailEnd type="none" w="sm" len="sm"/>
                          </a:ln>
                        </wps:spPr>
                        <wps:txbx>
                          <w:txbxContent>
                            <w:p>
                              <w:pPr>
                                <w:jc w:val="center"/>
                                <w:rPr>
                                  <w:rFonts w:hint="eastAsia"/>
                                  <w:sz w:val="20"/>
                                  <w:szCs w:val="20"/>
                                </w:rPr>
                              </w:pPr>
                              <w:r>
                                <w:rPr>
                                  <w:rFonts w:ascii="Trebuchet MS" w:hAnsi="Trebuchet MS" w:eastAsia="Trebuchet MS" w:cs="Trebuchet MS"/>
                                  <w:b/>
                                  <w:color w:val="FFFFFF"/>
                                  <w:sz w:val="18"/>
                                  <w:szCs w:val="20"/>
                                </w:rPr>
                                <w:t>UNIVERSIDADE FEDERAL FLUMINENSE</w:t>
                              </w:r>
                            </w:p>
                            <w:p>
                              <w:pPr>
                                <w:jc w:val="center"/>
                                <w:rPr>
                                  <w:rFonts w:hint="eastAsia"/>
                                  <w:sz w:val="20"/>
                                  <w:szCs w:val="20"/>
                                </w:rPr>
                              </w:pPr>
                              <w:r>
                                <w:rPr>
                                  <w:rFonts w:ascii="Trebuchet MS" w:hAnsi="Trebuchet MS" w:eastAsia="Trebuchet MS" w:cs="Trebuchet MS"/>
                                  <w:b/>
                                  <w:color w:val="FFFFFF"/>
                                  <w:sz w:val="18"/>
                                  <w:szCs w:val="20"/>
                                </w:rPr>
                                <w:t>PRÓ-REITORIA DE ADMINISTRAÇÃO</w:t>
                              </w:r>
                            </w:p>
                          </w:txbxContent>
                        </wps:txbx>
                        <wps:bodyPr spcFirstLastPara="1" wrap="square" lIns="91425" tIns="45700" rIns="91425" bIns="45700" anchor="t" anchorCtr="0">
                          <a:noAutofit/>
                        </wps:bodyPr>
                      </wps:wsp>
                      <wps:wsp>
                        <wps:cNvPr id="308" name="Caixa de Texto 308"/>
                        <wps:cNvSpPr txBox="1">
                          <a:spLocks noChangeArrowheads="1"/>
                        </wps:cNvSpPr>
                        <wps:spPr bwMode="auto">
                          <a:xfrm>
                            <a:off x="4409" y="1040"/>
                            <a:ext cx="2685" cy="1262"/>
                          </a:xfrm>
                          <a:prstGeom prst="rect">
                            <a:avLst/>
                          </a:prstGeom>
                          <a:noFill/>
                          <a:ln w="9525">
                            <a:noFill/>
                            <a:miter lim="800000"/>
                          </a:ln>
                        </wps:spPr>
                        <wps:txbx>
                          <w:txbxContent>
                            <w:p>
                              <w:pPr>
                                <w:rPr>
                                  <w:rFonts w:hint="eastAsia"/>
                                </w:rPr>
                              </w:pPr>
                              <w:r>
                                <w:drawing>
                                  <wp:inline distT="0" distB="0" distL="0" distR="0">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6"/>
                                            <a:srcRect/>
                                            <a:stretch>
                                              <a:fillRect/>
                                            </a:stretch>
                                          </pic:blipFill>
                                          <pic:spPr>
                                            <a:xfrm>
                                              <a:off x="0" y="0"/>
                                              <a:ext cx="1128395" cy="56832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12" name="Retângulo 312"/>
                        <wps:cNvSpPr/>
                        <wps:spPr>
                          <a:xfrm>
                            <a:off x="7178" y="927"/>
                            <a:ext cx="3840" cy="1292"/>
                          </a:xfrm>
                          <a:prstGeom prst="rect">
                            <a:avLst/>
                          </a:prstGeom>
                          <a:noFill/>
                          <a:ln>
                            <a:noFill/>
                          </a:ln>
                        </wps:spPr>
                        <wps:txbx>
                          <w:txbxContent>
                            <w:p>
                              <w:pPr>
                                <w:spacing w:line="275" w:lineRule="auto"/>
                                <w:jc w:val="center"/>
                                <w:rPr>
                                  <w:rFonts w:ascii="Verdana" w:hAnsi="Verdana" w:eastAsia="Verdana" w:cs="Verdana"/>
                                  <w:b/>
                                  <w:smallCaps/>
                                  <w:color w:val="000000"/>
                                  <w:sz w:val="28"/>
                                  <w:szCs w:val="22"/>
                                </w:rPr>
                              </w:pPr>
                              <w:r>
                                <w:rPr>
                                  <w:rFonts w:ascii="Verdana" w:hAnsi="Verdana" w:eastAsia="Verdana" w:cs="Verdana"/>
                                  <w:b/>
                                  <w:smallCaps/>
                                  <w:color w:val="000000"/>
                                  <w:sz w:val="28"/>
                                  <w:szCs w:val="22"/>
                                </w:rPr>
                                <w:t>COORDENAÇÃO DE LICITAÇÃO</w:t>
                              </w:r>
                            </w:p>
                            <w:p>
                              <w:pPr>
                                <w:spacing w:line="275" w:lineRule="auto"/>
                                <w:jc w:val="center"/>
                                <w:rPr>
                                  <w:rFonts w:ascii="Arial" w:hAnsi="Arial" w:eastAsia="Verdana" w:cs="Arial"/>
                                  <w:b/>
                                  <w:smallCaps/>
                                  <w:color w:val="000000"/>
                                  <w:sz w:val="21"/>
                                  <w:szCs w:val="18"/>
                                </w:rPr>
                              </w:pPr>
                              <w:r>
                                <w:rPr>
                                  <w:rFonts w:ascii="Arial" w:hAnsi="Arial" w:eastAsia="Verdana" w:cs="Arial"/>
                                  <w:b/>
                                  <w:smallCaps/>
                                  <w:color w:val="000000"/>
                                  <w:sz w:val="21"/>
                                  <w:szCs w:val="18"/>
                                </w:rPr>
                                <w:t>EDITAL</w:t>
                              </w:r>
                            </w:p>
                          </w:txbxContent>
                        </wps:txbx>
                        <wps:bodyPr spcFirstLastPara="1" wrap="square" lIns="91425" tIns="45700" rIns="91425" bIns="45700" anchor="t" anchorCtr="0">
                          <a:noAutofit/>
                        </wps:bodyPr>
                      </wps:wsp>
                      <wps:wsp>
                        <wps:cNvPr id="309" name="Caixa de Texto 309"/>
                        <wps:cNvSpPr txBox="1"/>
                        <wps:spPr>
                          <a:xfrm>
                            <a:off x="11530" y="852"/>
                            <a:ext cx="1549" cy="1317"/>
                          </a:xfrm>
                          <a:prstGeom prst="rect">
                            <a:avLst/>
                          </a:prstGeom>
                          <a:noFill/>
                          <a:ln w="6350">
                            <a:noFill/>
                          </a:ln>
                          <a:effectLst/>
                        </wps:spPr>
                        <wps:txbx>
                          <w:txbxContent>
                            <w:p>
                              <w:pPr>
                                <w:rPr>
                                  <w:rFonts w:hint="eastAsia"/>
                                </w:rPr>
                              </w:pPr>
                              <w:r>
                                <w:drawing>
                                  <wp:inline distT="0" distB="0" distL="114300" distR="114300">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7"/>
                                            <a:stretch>
                                              <a:fillRect/>
                                            </a:stretch>
                                          </pic:blipFill>
                                          <pic:spPr>
                                            <a:xfrm>
                                              <a:off x="0" y="0"/>
                                              <a:ext cx="808355" cy="788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6.55pt;margin-top:-27.8pt;height:114.35pt;width:456pt;z-index:251661312;mso-width-relative:page;mso-height-relative:page;" coordorigin="4259,709" coordsize="9120,2287" o:gfxdata="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">
                <o:lock v:ext="edit" aspectratio="f"/>
                <v:rect id="_x0000_s1026" o:spid="_x0000_s1026" o:spt="1" style="position:absolute;left:4259;top:709;height:2257;width:9120;" filled="f" stroked="t" coordsize="21600,21600" o:gfxdata="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NX+mvQAA&#10;ANwAAAAPAAAAAAAAAAEAIAAAACIAAABkcnMvZG93bnJldi54bWxQSwECFAAUAAAACACHTuJAMy8F&#10;njsAAAA5AAAAEAAAAAAAAAABACAAAAAMAQAAZHJzL3NoYXBleG1sLnhtbFBLBQYAAAAABgAGAFsB&#10;AAC2AwAAAAA=&#10;">
                  <v:fill on="f"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line="275" w:lineRule="auto"/>
                          <w:jc w:val="right"/>
                          <w:rPr>
                            <w:rFonts w:hint="eastAsia"/>
                          </w:rPr>
                        </w:pPr>
                        <w:r>
                          <w:rPr>
                            <w:rFonts w:ascii="Calibri" w:hAnsi="Calibri" w:eastAsia="Calibri" w:cs="Calibri"/>
                            <w:color w:val="000000"/>
                            <w:sz w:val="22"/>
                          </w:rPr>
                          <w:t xml:space="preserve">                                                                                        </w:t>
                        </w:r>
                      </w:p>
                    </w:txbxContent>
                  </v:textbox>
                </v:rect>
                <v:rect id="_x0000_s1026" o:spid="_x0000_s1026" o:spt="1" style="position:absolute;left:4272;top:2401;height:595;width:9105;" fillcolor="#4F81BD [3204]" filled="t" stroked="t" coordsize="21600,21600" o:gfxdata="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Cvt28AAAA&#10;2wAAAA8AAAAAAAAAAQAgAAAAIgAAAGRycy9kb3ducmV2LnhtbFBLAQIUABQAAAAIAIdO4kAzLwWe&#10;OwAAADkAAAAQAAAAAAAAAAEAIAAAAAsBAABkcnMvc2hhcGV4bWwueG1sUEsFBgAAAAAGAAYAWwEA&#10;ALUDAAAAAA==&#10;">
                  <v:fill on="t" focussize="0,0"/>
                  <v:stroke color="#000000" joinstyle="round" endcap="round" startarrowwidth="narrow" startarrowlength="short" endarrowwidth="narrow" endarrowlength="short"/>
                  <v:imagedata o:title=""/>
                  <o:lock v:ext="edit" aspectratio="f"/>
                  <v:textbox inset="7.1988188976378pt,3.59842519685039pt,7.1988188976378pt,3.59842519685039pt">
                    <w:txbxContent>
                      <w:p>
                        <w:pPr>
                          <w:jc w:val="center"/>
                          <w:rPr>
                            <w:rFonts w:hint="eastAsia"/>
                            <w:sz w:val="20"/>
                            <w:szCs w:val="20"/>
                          </w:rPr>
                        </w:pPr>
                        <w:r>
                          <w:rPr>
                            <w:rFonts w:ascii="Trebuchet MS" w:hAnsi="Trebuchet MS" w:eastAsia="Trebuchet MS" w:cs="Trebuchet MS"/>
                            <w:b/>
                            <w:color w:val="FFFFFF"/>
                            <w:sz w:val="18"/>
                            <w:szCs w:val="20"/>
                          </w:rPr>
                          <w:t>UNIVERSIDADE FEDERAL FLUMINENSE</w:t>
                        </w:r>
                      </w:p>
                      <w:p>
                        <w:pPr>
                          <w:jc w:val="center"/>
                          <w:rPr>
                            <w:rFonts w:hint="eastAsia"/>
                            <w:sz w:val="20"/>
                            <w:szCs w:val="20"/>
                          </w:rPr>
                        </w:pPr>
                        <w:r>
                          <w:rPr>
                            <w:rFonts w:ascii="Trebuchet MS" w:hAnsi="Trebuchet MS" w:eastAsia="Trebuchet MS" w:cs="Trebuchet MS"/>
                            <w:b/>
                            <w:color w:val="FFFFFF"/>
                            <w:sz w:val="18"/>
                            <w:szCs w:val="20"/>
                          </w:rPr>
                          <w:t>PRÓ-REITORIA DE ADMINISTRAÇÃO</w:t>
                        </w:r>
                      </w:p>
                    </w:txbxContent>
                  </v:textbox>
                </v:rect>
                <v:shape id="_x0000_s1026" o:spid="_x0000_s1026" o:spt="202" type="#_x0000_t202" style="position:absolute;left:4409;top:1040;height:1262;width:2685;" filled="f" stroked="f" coordsize="21600,21600" o:gfxdata="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vHqK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rPr>
                            <w:rFonts w:hint="eastAsia"/>
                          </w:rPr>
                        </w:pPr>
                        <w:r>
                          <w:drawing>
                            <wp:inline distT="0" distB="0" distL="0" distR="0">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6"/>
                                      <a:srcRect/>
                                      <a:stretch>
                                        <a:fillRect/>
                                      </a:stretch>
                                    </pic:blipFill>
                                    <pic:spPr>
                                      <a:xfrm>
                                        <a:off x="0" y="0"/>
                                        <a:ext cx="1128395" cy="568325"/>
                                      </a:xfrm>
                                      <a:prstGeom prst="rect">
                                        <a:avLst/>
                                      </a:prstGeom>
                                      <a:noFill/>
                                      <a:ln>
                                        <a:noFill/>
                                      </a:ln>
                                    </pic:spPr>
                                  </pic:pic>
                                </a:graphicData>
                              </a:graphic>
                            </wp:inline>
                          </w:drawing>
                        </w:r>
                      </w:p>
                    </w:txbxContent>
                  </v:textbox>
                </v:shape>
                <v:rect id="_x0000_s1026" o:spid="_x0000_s1026" o:spt="1" style="position:absolute;left:7178;top:927;height:1292;width:3840;" filled="f" stroked="f" coordsize="21600,21600" o:gfxdata="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kIMS8AAAA&#10;3AAAAA8AAAAAAAAAAQAgAAAAIgAAAGRycy9kb3ducmV2LnhtbFBLAQIUABQAAAAIAIdO4kAzLwWe&#10;OwAAADkAAAAQAAAAAAAAAAEAIAAAAAsBAABkcnMvc2hhcGV4bWwueG1sUEsFBgAAAAAGAAYAWwEA&#10;ALUDAAAAAA==&#10;">
                  <v:fill on="f" focussize="0,0"/>
                  <v:stroke on="f"/>
                  <v:imagedata o:title=""/>
                  <o:lock v:ext="edit" aspectratio="f"/>
                  <v:textbox inset="7.1988188976378pt,3.59842519685039pt,7.1988188976378pt,3.59842519685039pt">
                    <w:txbxContent>
                      <w:p>
                        <w:pPr>
                          <w:spacing w:line="275" w:lineRule="auto"/>
                          <w:jc w:val="center"/>
                          <w:rPr>
                            <w:rFonts w:ascii="Verdana" w:hAnsi="Verdana" w:eastAsia="Verdana" w:cs="Verdana"/>
                            <w:b/>
                            <w:smallCaps/>
                            <w:color w:val="000000"/>
                            <w:sz w:val="28"/>
                            <w:szCs w:val="22"/>
                          </w:rPr>
                        </w:pPr>
                        <w:r>
                          <w:rPr>
                            <w:rFonts w:ascii="Verdana" w:hAnsi="Verdana" w:eastAsia="Verdana" w:cs="Verdana"/>
                            <w:b/>
                            <w:smallCaps/>
                            <w:color w:val="000000"/>
                            <w:sz w:val="28"/>
                            <w:szCs w:val="22"/>
                          </w:rPr>
                          <w:t>COORDENAÇÃO DE LICITAÇÃO</w:t>
                        </w:r>
                      </w:p>
                      <w:p>
                        <w:pPr>
                          <w:spacing w:line="275" w:lineRule="auto"/>
                          <w:jc w:val="center"/>
                          <w:rPr>
                            <w:rFonts w:ascii="Arial" w:hAnsi="Arial" w:eastAsia="Verdana" w:cs="Arial"/>
                            <w:b/>
                            <w:smallCaps/>
                            <w:color w:val="000000"/>
                            <w:sz w:val="21"/>
                            <w:szCs w:val="18"/>
                          </w:rPr>
                        </w:pPr>
                        <w:r>
                          <w:rPr>
                            <w:rFonts w:ascii="Arial" w:hAnsi="Arial" w:eastAsia="Verdana" w:cs="Arial"/>
                            <w:b/>
                            <w:smallCaps/>
                            <w:color w:val="000000"/>
                            <w:sz w:val="21"/>
                            <w:szCs w:val="18"/>
                          </w:rPr>
                          <w:t>EDITAL</w:t>
                        </w:r>
                      </w:p>
                    </w:txbxContent>
                  </v:textbox>
                </v:rect>
                <v:shape id="_x0000_s1026" o:spid="_x0000_s1026" o:spt="202" type="#_x0000_t202" style="position:absolute;left:11530;top:852;height:1317;width:1549;" filled="f" stroked="f" coordsize="21600,21600" o:gfxdata="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NMry&#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rPr>
                        </w:pPr>
                        <w:r>
                          <w:drawing>
                            <wp:inline distT="0" distB="0" distL="114300" distR="114300">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7"/>
                                      <a:stretch>
                                        <a:fillRect/>
                                      </a:stretch>
                                    </pic:blipFill>
                                    <pic:spPr>
                                      <a:xfrm>
                                        <a:off x="0" y="0"/>
                                        <a:ext cx="808355" cy="788035"/>
                                      </a:xfrm>
                                      <a:prstGeom prst="rect">
                                        <a:avLst/>
                                      </a:prstGeom>
                                    </pic:spPr>
                                  </pic:pic>
                                </a:graphicData>
                              </a:graphic>
                            </wp:inline>
                          </w:drawing>
                        </w:r>
                      </w:p>
                    </w:txbxContent>
                  </v:textbox>
                </v:shape>
              </v:group>
            </w:pict>
          </mc:Fallback>
        </mc:AlternateConten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before="100" w:line="120" w:lineRule="auto"/>
        <w:ind w:left="737"/>
        <w:jc w:val="center"/>
        <w:rPr>
          <w:rFonts w:ascii="Arial" w:hAnsi="Arial" w:cs="Arial"/>
          <w:b/>
          <w:sz w:val="40"/>
          <w:szCs w:val="21"/>
        </w:rPr>
      </w:pPr>
    </w:p>
    <w:p>
      <w:pPr>
        <w:spacing w:before="100" w:line="276" w:lineRule="auto"/>
        <w:ind w:left="851"/>
        <w:jc w:val="center"/>
        <w:rPr>
          <w:rFonts w:ascii="Arial" w:hAnsi="Arial" w:cs="Arial"/>
          <w:b/>
          <w:color w:val="0D4096"/>
          <w:sz w:val="40"/>
          <w:szCs w:val="21"/>
        </w:rPr>
      </w:pPr>
      <w:r>
        <w:rPr>
          <w:rFonts w:ascii="Arial" w:hAnsi="Arial" w:cs="Arial"/>
          <w:b/>
          <w:color w:val="0D4096"/>
          <w:sz w:val="40"/>
          <w:szCs w:val="21"/>
        </w:rPr>
        <w:t>Pregão Eletrônico Nº 54/2023</w:t>
      </w:r>
    </w:p>
    <w:p>
      <w:pPr>
        <w:jc w:val="center"/>
        <w:rPr>
          <w:rFonts w:ascii="Arial" w:hAnsi="Arial" w:cs="Arial"/>
          <w:bCs/>
          <w:sz w:val="22"/>
          <w:szCs w:val="22"/>
          <w:u w:val="single"/>
          <w14:shadow w14:blurRad="38100" w14:dist="19050" w14:dir="2700000" w14:sx="100000" w14:sy="100000" w14:kx="0" w14:ky="0" w14:algn="tl">
            <w14:schemeClr w14:val="dk1">
              <w14:alpha w14:val="60000"/>
            </w14:schemeClr>
          </w14:shadow>
        </w:rPr>
      </w:pPr>
    </w:p>
    <w:p>
      <w:pPr>
        <w:spacing w:line="259" w:lineRule="auto"/>
        <w:rPr>
          <w:rFonts w:ascii="Arial" w:hAnsi="Arial" w:cs="Arial"/>
          <w:b/>
          <w:bCs/>
        </w:rPr>
      </w:pPr>
    </w:p>
    <w:p>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CONTRATANTE (UASG)</w:t>
      </w:r>
    </w:p>
    <w:p>
      <w:pPr>
        <w:rPr>
          <w:rFonts w:ascii="Arial" w:hAnsi="Arial" w:cs="Arial"/>
          <w:color w:val="5B5B5F"/>
          <w:sz w:val="28"/>
          <w:szCs w:val="28"/>
        </w:rPr>
      </w:pPr>
      <w:r>
        <w:rPr>
          <w:rFonts w:ascii="Arial" w:hAnsi="Arial" w:cs="Arial"/>
          <w:color w:val="5B5B5F"/>
          <w:sz w:val="28"/>
          <w:szCs w:val="28"/>
        </w:rPr>
        <w:t>PRÓ-REITORIA DE ADMINISTRAÇÃO (150182)</w:t>
      </w:r>
    </w:p>
    <w:p>
      <w:pPr>
        <w:spacing w:line="259" w:lineRule="auto"/>
        <w:jc w:val="both"/>
        <w:rPr>
          <w:rFonts w:ascii="Arial" w:hAnsi="Arial" w:cs="Arial"/>
          <w:b/>
          <w:bCs/>
          <w:color w:val="405CA1"/>
          <w:sz w:val="28"/>
          <w:szCs w:val="28"/>
          <w:highlight w:val="lightGray"/>
        </w:rPr>
      </w:pPr>
    </w:p>
    <w:p>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 xml:space="preserve">PROCESSO Nº </w:t>
      </w:r>
    </w:p>
    <w:p>
      <w:pPr>
        <w:spacing w:line="259" w:lineRule="auto"/>
        <w:jc w:val="both"/>
        <w:rPr>
          <w:rFonts w:ascii="Arial" w:hAnsi="Arial" w:cs="Arial"/>
          <w:color w:val="5B5B5F"/>
          <w:sz w:val="28"/>
          <w:szCs w:val="28"/>
        </w:rPr>
      </w:pPr>
      <w:r>
        <w:rPr>
          <w:rFonts w:ascii="Arial" w:hAnsi="Arial" w:cs="Arial"/>
          <w:color w:val="5B5B5F"/>
          <w:sz w:val="28"/>
          <w:szCs w:val="28"/>
        </w:rPr>
        <w:t>23069.166083/2023-12</w:t>
      </w:r>
    </w:p>
    <w:p>
      <w:pPr>
        <w:spacing w:line="259" w:lineRule="auto"/>
        <w:jc w:val="both"/>
        <w:rPr>
          <w:rFonts w:ascii="Arial" w:hAnsi="Arial" w:cs="Arial"/>
          <w:b/>
          <w:bCs/>
          <w:color w:val="405CA1"/>
          <w:sz w:val="28"/>
          <w:szCs w:val="28"/>
          <w:highlight w:val="lightGray"/>
        </w:rPr>
      </w:pPr>
    </w:p>
    <w:p>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OBJETO</w:t>
      </w:r>
    </w:p>
    <w:p>
      <w:pPr>
        <w:autoSpaceDE w:val="0"/>
        <w:autoSpaceDN w:val="0"/>
        <w:adjustRightInd w:val="0"/>
        <w:jc w:val="both"/>
        <w:rPr>
          <w:rFonts w:ascii="Calibri" w:hAnsi="Calibri" w:cs="Calibri"/>
          <w:color w:val="000000"/>
        </w:rPr>
      </w:pPr>
      <w:r>
        <w:rPr>
          <w:rFonts w:ascii="Arial" w:hAnsi="Arial" w:cs="Arial"/>
          <w:color w:val="5B5B5F"/>
          <w:sz w:val="28"/>
          <w:szCs w:val="28"/>
        </w:rPr>
        <w:t>Contratação de empresa para a prestação de serviços de reforma de móveis e estofados com fornecimento de materiais, à medida em que houver necessidade, na Universidade Federal Fluminense – UFF.</w:t>
      </w:r>
    </w:p>
    <w:p>
      <w:pPr>
        <w:jc w:val="both"/>
        <w:rPr>
          <w:rFonts w:ascii="Arial" w:hAnsi="Arial" w:cs="Arial"/>
          <w:color w:val="5B5B5F"/>
          <w:sz w:val="28"/>
          <w:szCs w:val="28"/>
        </w:rPr>
      </w:pPr>
    </w:p>
    <w:p>
      <w:pPr>
        <w:jc w:val="both"/>
        <w:rPr>
          <w:rFonts w:ascii="Arial" w:hAnsi="Arial" w:cs="Arial"/>
          <w:color w:val="5B5B5F"/>
          <w:sz w:val="28"/>
          <w:szCs w:val="28"/>
        </w:rPr>
      </w:pPr>
    </w:p>
    <w:p>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 xml:space="preserve">VALOR TOTAL ESTIMADO </w:t>
      </w:r>
    </w:p>
    <w:p>
      <w:pPr>
        <w:rPr>
          <w:rFonts w:ascii="Arial" w:hAnsi="Arial" w:cs="Arial"/>
          <w:b/>
          <w:bCs/>
          <w:color w:val="405CA1"/>
          <w:sz w:val="28"/>
          <w:szCs w:val="28"/>
          <w:highlight w:val="lightGray"/>
        </w:rPr>
      </w:pPr>
      <w:r>
        <w:rPr>
          <w:rFonts w:ascii="Arial" w:hAnsi="Arial" w:cs="Arial"/>
          <w:b/>
          <w:bCs/>
          <w:color w:val="5B5B5F"/>
          <w:sz w:val="28"/>
          <w:szCs w:val="28"/>
        </w:rPr>
        <w:t>R$1.510.145,00</w:t>
      </w:r>
    </w:p>
    <w:p>
      <w:pPr>
        <w:spacing w:line="259" w:lineRule="auto"/>
        <w:jc w:val="both"/>
        <w:rPr>
          <w:rFonts w:ascii="Arial" w:hAnsi="Arial" w:cs="Arial"/>
          <w:b/>
          <w:bCs/>
          <w:color w:val="405CA1"/>
          <w:sz w:val="28"/>
          <w:szCs w:val="28"/>
          <w:highlight w:val="lightGray"/>
        </w:rPr>
      </w:pPr>
    </w:p>
    <w:p>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DATA DA SESSÃO PÚBLICA</w:t>
      </w:r>
    </w:p>
    <w:p>
      <w:pPr>
        <w:rPr>
          <w:rFonts w:ascii="Arial" w:hAnsi="Arial" w:cs="Arial"/>
          <w:color w:val="5B5B5F"/>
          <w:sz w:val="28"/>
          <w:szCs w:val="28"/>
        </w:rPr>
      </w:pPr>
      <w:r>
        <w:rPr>
          <w:rFonts w:ascii="Arial" w:hAnsi="Arial" w:cs="Arial"/>
          <w:b/>
          <w:bCs/>
          <w:color w:val="5B5B5F"/>
          <w:sz w:val="28"/>
          <w:szCs w:val="28"/>
        </w:rPr>
        <w:t xml:space="preserve">Dia </w:t>
      </w:r>
      <w:r>
        <w:rPr>
          <w:rFonts w:hint="default" w:ascii="Arial" w:hAnsi="Arial" w:cs="Arial"/>
          <w:b/>
          <w:bCs/>
          <w:color w:val="5B5B5F"/>
          <w:sz w:val="28"/>
          <w:szCs w:val="28"/>
          <w:lang w:val="pt-BR"/>
        </w:rPr>
        <w:t>21/JUL</w:t>
      </w:r>
      <w:r>
        <w:rPr>
          <w:rFonts w:ascii="Arial" w:hAnsi="Arial" w:cs="Arial"/>
          <w:b/>
          <w:bCs/>
          <w:color w:val="5B5B5F"/>
          <w:sz w:val="28"/>
          <w:szCs w:val="28"/>
        </w:rPr>
        <w:t xml:space="preserve">/2023 às 10h </w:t>
      </w:r>
      <w:r>
        <w:rPr>
          <w:rFonts w:ascii="Arial" w:hAnsi="Arial" w:cs="Arial"/>
          <w:color w:val="5B5B5F"/>
          <w:sz w:val="28"/>
          <w:szCs w:val="28"/>
        </w:rPr>
        <w:t>(horário de Brasília)</w:t>
      </w:r>
    </w:p>
    <w:p>
      <w:pPr>
        <w:spacing w:line="259" w:lineRule="auto"/>
        <w:jc w:val="both"/>
        <w:rPr>
          <w:rFonts w:ascii="Arial" w:hAnsi="Arial" w:cs="Arial"/>
          <w:b/>
          <w:bCs/>
          <w:color w:val="405CA1"/>
          <w:sz w:val="28"/>
          <w:szCs w:val="28"/>
          <w:highlight w:val="lightGray"/>
        </w:rPr>
      </w:pPr>
    </w:p>
    <w:p>
      <w:pPr>
        <w:spacing w:line="259" w:lineRule="auto"/>
        <w:jc w:val="both"/>
        <w:rPr>
          <w:rFonts w:ascii="Arial" w:hAnsi="Arial" w:cs="Arial"/>
          <w:b/>
          <w:bCs/>
          <w:color w:val="405CA1"/>
          <w:sz w:val="28"/>
          <w:szCs w:val="28"/>
          <w:highlight w:val="lightGray"/>
        </w:rPr>
      </w:pPr>
    </w:p>
    <w:p>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Critério de Julgamento:</w:t>
      </w:r>
    </w:p>
    <w:p>
      <w:pPr>
        <w:spacing w:line="259" w:lineRule="auto"/>
        <w:jc w:val="both"/>
        <w:rPr>
          <w:rFonts w:ascii="Arial" w:hAnsi="Arial" w:cs="Arial"/>
          <w:b/>
          <w:bCs/>
          <w:color w:val="405CA1"/>
          <w:sz w:val="28"/>
          <w:szCs w:val="28"/>
          <w:highlight w:val="lightGray"/>
        </w:rPr>
      </w:pPr>
      <w:r>
        <w:rPr>
          <w:rFonts w:ascii="Arial" w:hAnsi="Arial" w:cs="Arial"/>
          <w:color w:val="5B5B5F"/>
          <w:sz w:val="28"/>
          <w:szCs w:val="28"/>
        </w:rPr>
        <w:t xml:space="preserve"> Menor preço por item</w:t>
      </w:r>
    </w:p>
    <w:p>
      <w:pPr>
        <w:spacing w:line="259" w:lineRule="auto"/>
        <w:jc w:val="both"/>
        <w:rPr>
          <w:rFonts w:ascii="Arial" w:hAnsi="Arial" w:cs="Arial"/>
          <w:b/>
          <w:bCs/>
          <w:color w:val="405CA1"/>
          <w:sz w:val="28"/>
          <w:szCs w:val="28"/>
          <w:highlight w:val="lightGray"/>
        </w:rPr>
      </w:pPr>
    </w:p>
    <w:p>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Modo de disputa:</w:t>
      </w:r>
    </w:p>
    <w:p>
      <w:pPr>
        <w:spacing w:line="259" w:lineRule="auto"/>
        <w:jc w:val="both"/>
        <w:rPr>
          <w:rFonts w:ascii="Arial" w:hAnsi="Arial" w:cs="Arial"/>
          <w:color w:val="5B5B5F"/>
          <w:sz w:val="28"/>
          <w:szCs w:val="28"/>
        </w:rPr>
      </w:pPr>
      <w:r>
        <w:rPr>
          <w:rFonts w:ascii="Arial" w:hAnsi="Arial" w:cs="Arial"/>
          <w:color w:val="5B5B5F"/>
          <w:sz w:val="28"/>
          <w:szCs w:val="28"/>
        </w:rPr>
        <w:t>Aberto e fechado</w:t>
      </w:r>
    </w:p>
    <w:p>
      <w:pPr>
        <w:spacing w:line="259" w:lineRule="auto"/>
        <w:jc w:val="both"/>
        <w:rPr>
          <w:rFonts w:ascii="Arial" w:hAnsi="Arial" w:cs="Arial"/>
          <w:b/>
          <w:bCs/>
          <w:color w:val="405CA1"/>
          <w:sz w:val="28"/>
          <w:szCs w:val="28"/>
          <w:highlight w:val="lightGray"/>
        </w:rPr>
      </w:pPr>
    </w:p>
    <w:p>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PREFERÊNCIA ME/EPP/EQUIPARADAS</w:t>
      </w:r>
    </w:p>
    <w:p>
      <w:pPr>
        <w:spacing w:line="259" w:lineRule="auto"/>
        <w:jc w:val="both"/>
        <w:rPr>
          <w:rFonts w:ascii="Arial" w:hAnsi="Arial" w:cs="Arial"/>
          <w:color w:val="5B5B5F"/>
          <w:sz w:val="28"/>
          <w:szCs w:val="28"/>
        </w:rPr>
      </w:pPr>
      <w:r>
        <w:rPr>
          <w:rFonts w:ascii="Arial" w:hAnsi="Arial" w:cs="Arial"/>
          <w:color w:val="5B5B5F"/>
          <w:sz w:val="28"/>
          <w:szCs w:val="28"/>
        </w:rPr>
        <w:t>NÃO</w:t>
      </w:r>
    </w:p>
    <w:p>
      <w:pPr>
        <w:spacing w:line="259" w:lineRule="auto"/>
        <w:jc w:val="both"/>
        <w:rPr>
          <w:rFonts w:ascii="Arial" w:hAnsi="Arial" w:cs="Arial"/>
          <w:b/>
          <w:bCs/>
          <w:color w:val="405CA1"/>
          <w:sz w:val="28"/>
          <w:szCs w:val="28"/>
          <w:highlight w:val="lightGray"/>
        </w:rPr>
      </w:pPr>
    </w:p>
    <w:p>
      <w:pPr>
        <w:jc w:val="center"/>
        <w:rPr>
          <w:rFonts w:ascii="Arial" w:hAnsi="Arial" w:cs="Arial"/>
          <w:b/>
          <w:bCs/>
          <w:sz w:val="22"/>
          <w:szCs w:val="22"/>
        </w:rPr>
      </w:pPr>
      <w:r>
        <w:rPr>
          <w:rFonts w:ascii="SimSun" w:hAnsi="SimSun" w:eastAsia="SimSun" w:cs="SimSun"/>
        </w:rPr>
        <w:drawing>
          <wp:inline distT="0" distB="0" distL="114300" distR="114300">
            <wp:extent cx="4020820" cy="1285875"/>
            <wp:effectExtent l="0" t="0" r="0" b="0"/>
            <wp:docPr id="329" name="image4.png" descr="IMG_256"/>
            <wp:cNvGraphicFramePr/>
            <a:graphic xmlns:a="http://schemas.openxmlformats.org/drawingml/2006/main">
              <a:graphicData uri="http://schemas.openxmlformats.org/drawingml/2006/picture">
                <pic:pic xmlns:pic="http://schemas.openxmlformats.org/drawingml/2006/picture">
                  <pic:nvPicPr>
                    <pic:cNvPr id="329" name="image4.png" descr="IMG_256"/>
                    <pic:cNvPicPr preferRelativeResize="0"/>
                  </pic:nvPicPr>
                  <pic:blipFill>
                    <a:blip r:embed="rId8"/>
                    <a:srcRect/>
                    <a:stretch>
                      <a:fillRect/>
                    </a:stretch>
                  </pic:blipFill>
                  <pic:spPr>
                    <a:xfrm>
                      <a:off x="0" y="0"/>
                      <a:ext cx="4020820" cy="1285875"/>
                    </a:xfrm>
                    <a:prstGeom prst="rect">
                      <a:avLst/>
                    </a:prstGeom>
                  </pic:spPr>
                </pic:pic>
              </a:graphicData>
            </a:graphic>
          </wp:inline>
        </w:drawing>
      </w:r>
      <w:bookmarkStart w:id="52" w:name="_GoBack"/>
      <w:bookmarkEnd w:id="52"/>
    </w:p>
    <w:p>
      <w:pPr>
        <w:rPr>
          <w:rFonts w:ascii="Arial" w:hAnsi="Arial" w:cs="Arial"/>
          <w:b/>
          <w:bCs/>
          <w:color w:val="5B5B5F"/>
          <w:sz w:val="28"/>
          <w:szCs w:val="28"/>
        </w:rPr>
      </w:pPr>
      <w:r>
        <mc:AlternateContent>
          <mc:Choice Requires="wpg">
            <w:drawing>
              <wp:anchor distT="0" distB="0" distL="114300" distR="114300" simplePos="0" relativeHeight="251662336" behindDoc="0" locked="0" layoutInCell="1" allowOverlap="1">
                <wp:simplePos x="0" y="0"/>
                <wp:positionH relativeFrom="column">
                  <wp:posOffset>-295275</wp:posOffset>
                </wp:positionH>
                <wp:positionV relativeFrom="paragraph">
                  <wp:posOffset>315595</wp:posOffset>
                </wp:positionV>
                <wp:extent cx="6770370" cy="7690485"/>
                <wp:effectExtent l="12700" t="0" r="17780" b="24765"/>
                <wp:wrapNone/>
                <wp:docPr id="22" name="Grupo 22"/>
                <wp:cNvGraphicFramePr/>
                <a:graphic xmlns:a="http://schemas.openxmlformats.org/drawingml/2006/main">
                  <a:graphicData uri="http://schemas.microsoft.com/office/word/2010/wordprocessingGroup">
                    <wpg:wgp>
                      <wpg:cNvGrpSpPr/>
                      <wpg:grpSpPr>
                        <a:xfrm>
                          <a:off x="0" y="0"/>
                          <a:ext cx="6770370" cy="7690485"/>
                          <a:chOff x="3463" y="21415"/>
                          <a:chExt cx="10662" cy="12111"/>
                        </a:xfrm>
                      </wpg:grpSpPr>
                      <wps:wsp>
                        <wps:cNvPr id="321" name="Retângulo 321"/>
                        <wps:cNvSpPr/>
                        <wps:spPr>
                          <a:xfrm>
                            <a:off x="3463" y="2902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pPr>
                                <w:rPr>
                                  <w:rFonts w:hint="eastAsia"/>
                                </w:rPr>
                              </w:pPr>
                              <w:r>
                                <w:rPr>
                                  <w:rFonts w:ascii="Verdana" w:hAnsi="Verdana" w:eastAsia="Verdana" w:cs="Verdana"/>
                                  <w:b/>
                                  <w:color w:val="4F81BD"/>
                                  <w:sz w:val="20"/>
                                </w:rPr>
                                <w:t>5</w:t>
                              </w:r>
                            </w:p>
                            <w:p>
                              <w:pPr>
                                <w:ind w:firstLine="300"/>
                                <w:jc w:val="both"/>
                                <w:rPr>
                                  <w:rFonts w:hint="eastAsia"/>
                                </w:rPr>
                              </w:pPr>
                              <w:r>
                                <w:rPr>
                                  <w:rFonts w:ascii="Verdana" w:hAnsi="Verdana" w:eastAsia="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wps:txbx>
                        <wps:bodyPr spcFirstLastPara="1" wrap="square" lIns="91425" tIns="45700" rIns="91425" bIns="45700" anchor="t" anchorCtr="0">
                          <a:noAutofit/>
                        </wps:bodyPr>
                      </wps:wsp>
                      <wps:wsp>
                        <wps:cNvPr id="326" name="Retângulo 326"/>
                        <wps:cNvSpPr/>
                        <wps:spPr>
                          <a:xfrm>
                            <a:off x="3483" y="3050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pPr>
                                <w:rPr>
                                  <w:rFonts w:hint="eastAsia"/>
                                </w:rPr>
                              </w:pPr>
                              <w:r>
                                <w:rPr>
                                  <w:rFonts w:ascii="Verdana" w:hAnsi="Verdana" w:eastAsia="Verdana" w:cs="Verdana"/>
                                  <w:b/>
                                  <w:color w:val="4F81BD"/>
                                  <w:sz w:val="20"/>
                                </w:rPr>
                                <w:t>6</w:t>
                              </w:r>
                            </w:p>
                            <w:p>
                              <w:pPr>
                                <w:ind w:firstLine="300"/>
                                <w:jc w:val="both"/>
                                <w:rPr>
                                  <w:rFonts w:hint="eastAsia"/>
                                </w:rPr>
                              </w:pPr>
                              <w:r>
                                <w:rPr>
                                  <w:rFonts w:ascii="Verdana" w:hAnsi="Verdana" w:eastAsia="Verdana" w:cs="Verdana"/>
                                  <w:color w:val="000000"/>
                                  <w:sz w:val="20"/>
                                </w:rPr>
                                <w:t xml:space="preserve">A CLI/AD não encaminha seus Editais e/ou Anexos diretamente ou de forma individualizada aos interessados, que poderão acessá-los nos sítios www.comprasgovernamentais.gov.br ou </w:t>
                              </w:r>
                              <w:r>
                                <w:rPr>
                                  <w:rFonts w:eastAsia="Ecofont_Spranq_eco_Sans" w:cs="Ecofont_Spranq_eco_Sans"/>
                                  <w:color w:val="000000"/>
                                </w:rPr>
                                <w:t xml:space="preserve"> </w:t>
                              </w:r>
                              <w:r>
                                <w:rPr>
                                  <w:rFonts w:ascii="Verdana" w:hAnsi="Verdana" w:eastAsia="Verdana" w:cs="Verdana"/>
                                  <w:color w:val="0000FF"/>
                                  <w:sz w:val="20"/>
                                  <w:u w:val="single"/>
                                </w:rPr>
                                <w:t>https://www.uff.br/?q=licitacoes</w:t>
                              </w:r>
                              <w:r>
                                <w:rPr>
                                  <w:rFonts w:ascii="Verdana" w:hAnsi="Verdana" w:eastAsia="Verdana" w:cs="Verdana"/>
                                  <w:color w:val="000000"/>
                                  <w:sz w:val="20"/>
                                </w:rPr>
                                <w:t xml:space="preserve">. </w:t>
                              </w:r>
                            </w:p>
                            <w:p>
                              <w:pPr>
                                <w:jc w:val="center"/>
                                <w:rPr>
                                  <w:rFonts w:hint="eastAsia"/>
                                </w:rPr>
                              </w:pPr>
                            </w:p>
                            <w:p>
                              <w:pPr>
                                <w:ind w:firstLine="300"/>
                                <w:jc w:val="both"/>
                                <w:rPr>
                                  <w:rFonts w:hint="eastAsia"/>
                                </w:rPr>
                              </w:pPr>
                            </w:p>
                          </w:txbxContent>
                        </wps:txbx>
                        <wps:bodyPr spcFirstLastPara="1" wrap="square" lIns="91425" tIns="45700" rIns="91425" bIns="45700" anchor="t" anchorCtr="0">
                          <a:noAutofit/>
                        </wps:bodyPr>
                      </wps:wsp>
                      <wps:wsp>
                        <wps:cNvPr id="311" name="Retângulo 311"/>
                        <wps:cNvSpPr/>
                        <wps:spPr>
                          <a:xfrm>
                            <a:off x="3483" y="31940"/>
                            <a:ext cx="10643" cy="1586"/>
                          </a:xfrm>
                          <a:prstGeom prst="rect">
                            <a:avLst/>
                          </a:prstGeom>
                          <a:solidFill>
                            <a:schemeClr val="lt1"/>
                          </a:solidFill>
                          <a:ln w="25400" cap="flat" cmpd="sng">
                            <a:solidFill>
                              <a:schemeClr val="accent1"/>
                            </a:solidFill>
                            <a:prstDash val="solid"/>
                            <a:round/>
                            <a:headEnd type="none" w="sm" len="sm"/>
                            <a:tailEnd type="none" w="sm" len="sm"/>
                          </a:ln>
                        </wps:spPr>
                        <wps:txbx>
                          <w:txbxContent>
                            <w:p>
                              <w:pPr>
                                <w:rPr>
                                  <w:rFonts w:hint="eastAsia"/>
                                </w:rPr>
                              </w:pPr>
                              <w:r>
                                <w:rPr>
                                  <w:rFonts w:ascii="Verdana" w:hAnsi="Verdana" w:eastAsia="Verdana" w:cs="Verdana"/>
                                  <w:b/>
                                  <w:color w:val="4F81BD"/>
                                  <w:sz w:val="20"/>
                                </w:rPr>
                                <w:t>7</w:t>
                              </w:r>
                            </w:p>
                            <w:p>
                              <w:pPr>
                                <w:jc w:val="center"/>
                                <w:rPr>
                                  <w:rFonts w:hint="eastAsia"/>
                                </w:rPr>
                              </w:pPr>
                              <w:r>
                                <w:rPr>
                                  <w:rFonts w:ascii="Verdana" w:hAnsi="Verdana" w:eastAsia="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pPr>
                                <w:jc w:val="center"/>
                                <w:rPr>
                                  <w:rFonts w:hint="eastAsia"/>
                                </w:rPr>
                              </w:pPr>
                            </w:p>
                            <w:p>
                              <w:pPr>
                                <w:ind w:firstLine="300"/>
                                <w:jc w:val="both"/>
                                <w:rPr>
                                  <w:rFonts w:hint="eastAsia"/>
                                </w:rPr>
                              </w:pPr>
                            </w:p>
                          </w:txbxContent>
                        </wps:txbx>
                        <wps:bodyPr spcFirstLastPara="1" wrap="square" lIns="91425" tIns="45700" rIns="91425" bIns="45700" anchor="t" anchorCtr="0">
                          <a:noAutofit/>
                        </wps:bodyPr>
                      </wps:wsp>
                      <wps:wsp>
                        <wps:cNvPr id="17" name="Retângulo: Cantos Arredondados 324"/>
                        <wps:cNvSpPr/>
                        <wps:spPr>
                          <a:xfrm>
                            <a:off x="3914" y="21415"/>
                            <a:ext cx="9799" cy="906"/>
                          </a:xfrm>
                          <a:prstGeom prst="roundRect">
                            <a:avLst>
                              <a:gd name="adj" fmla="val 13032"/>
                            </a:avLst>
                          </a:prstGeom>
                          <a:solidFill>
                            <a:schemeClr val="lt2"/>
                          </a:solidFill>
                          <a:ln>
                            <a:noFill/>
                          </a:ln>
                        </wps:spPr>
                        <wps:txbx>
                          <w:txbxContent>
                            <w:p>
                              <w:pPr>
                                <w:spacing w:before="160"/>
                                <w:ind w:right="100"/>
                                <w:jc w:val="center"/>
                                <w:rPr>
                                  <w:rFonts w:hint="eastAsia"/>
                                </w:rPr>
                              </w:pPr>
                              <w:r>
                                <w:rPr>
                                  <w:rFonts w:ascii="Arial" w:hAnsi="Arial" w:eastAsia="Arial" w:cs="Arial"/>
                                  <w:b/>
                                  <w:color w:val="000000"/>
                                  <w:sz w:val="20"/>
                                </w:rPr>
                                <w:t>A leitura das orientações abaixo não dispensa a leitura integral do Edital e de seus Anexos, bem como da legislação pertinente.</w:t>
                              </w:r>
                            </w:p>
                            <w:p>
                              <w:pPr>
                                <w:jc w:val="both"/>
                                <w:rPr>
                                  <w:rFonts w:hint="eastAsia"/>
                                </w:rPr>
                              </w:pPr>
                            </w:p>
                            <w:p>
                              <w:pPr>
                                <w:rPr>
                                  <w:rFonts w:hint="eastAsia"/>
                                </w:rPr>
                              </w:pPr>
                            </w:p>
                            <w:p>
                              <w:pPr>
                                <w:rPr>
                                  <w:rFonts w:hint="eastAsia"/>
                                </w:rPr>
                              </w:pPr>
                            </w:p>
                          </w:txbxContent>
                        </wps:txbx>
                        <wps:bodyPr spcFirstLastPara="1" wrap="square" lIns="91425" tIns="45700" rIns="91425" bIns="45700" anchor="ctr" anchorCtr="0">
                          <a:noAutofit/>
                        </wps:bodyPr>
                      </wps:wsp>
                      <wps:wsp>
                        <wps:cNvPr id="21" name="Retângulo 21"/>
                        <wps:cNvSpPr/>
                        <wps:spPr>
                          <a:xfrm>
                            <a:off x="3469" y="22494"/>
                            <a:ext cx="10643" cy="1888"/>
                          </a:xfrm>
                          <a:prstGeom prst="rect">
                            <a:avLst/>
                          </a:prstGeom>
                          <a:solidFill>
                            <a:schemeClr val="lt1"/>
                          </a:solidFill>
                          <a:ln w="25400" cap="flat" cmpd="sng">
                            <a:solidFill>
                              <a:schemeClr val="accent1"/>
                            </a:solidFill>
                            <a:prstDash val="solid"/>
                            <a:round/>
                            <a:headEnd type="none" w="sm" len="sm"/>
                            <a:tailEnd type="none" w="sm" len="sm"/>
                          </a:ln>
                        </wps:spPr>
                        <wps:txbx>
                          <w:txbxContent>
                            <w:p>
                              <w:pPr>
                                <w:jc w:val="both"/>
                                <w:rPr>
                                  <w:rFonts w:hint="eastAsia"/>
                                </w:rPr>
                              </w:pPr>
                              <w:r>
                                <w:rPr>
                                  <w:rFonts w:ascii="Verdana" w:hAnsi="Verdana" w:eastAsia="Verdana" w:cs="Verdana"/>
                                  <w:b/>
                                  <w:color w:val="4F81BD"/>
                                  <w:sz w:val="20"/>
                                </w:rPr>
                                <w:t>1</w:t>
                              </w:r>
                            </w:p>
                            <w:p>
                              <w:pPr>
                                <w:ind w:firstLine="300"/>
                                <w:jc w:val="both"/>
                                <w:rPr>
                                  <w:rFonts w:hint="eastAsia"/>
                                </w:rPr>
                              </w:pPr>
                              <w:r>
                                <w:rPr>
                                  <w:rFonts w:ascii="Verdana" w:hAnsi="Verdana" w:eastAsia="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pPr>
                                <w:rPr>
                                  <w:rFonts w:hint="eastAsia"/>
                                </w:rPr>
                              </w:pPr>
                            </w:p>
                            <w:p>
                              <w:pPr>
                                <w:rPr>
                                  <w:rFonts w:hint="eastAsia"/>
                                </w:rPr>
                              </w:pPr>
                            </w:p>
                          </w:txbxContent>
                        </wps:txbx>
                        <wps:bodyPr spcFirstLastPara="1" wrap="square" lIns="91425" tIns="45700" rIns="91425" bIns="45700" anchor="t" anchorCtr="0">
                          <a:noAutofit/>
                        </wps:bodyPr>
                      </wps:wsp>
                      <wps:wsp>
                        <wps:cNvPr id="20" name="Retângulo 20"/>
                        <wps:cNvSpPr/>
                        <wps:spPr>
                          <a:xfrm>
                            <a:off x="3469" y="24554"/>
                            <a:ext cx="10643" cy="1376"/>
                          </a:xfrm>
                          <a:prstGeom prst="rect">
                            <a:avLst/>
                          </a:prstGeom>
                          <a:solidFill>
                            <a:schemeClr val="lt1"/>
                          </a:solidFill>
                          <a:ln w="25400" cap="flat" cmpd="sng">
                            <a:solidFill>
                              <a:schemeClr val="accent1"/>
                            </a:solidFill>
                            <a:prstDash val="solid"/>
                            <a:round/>
                            <a:headEnd type="none" w="sm" len="sm"/>
                            <a:tailEnd type="none" w="sm" len="sm"/>
                          </a:ln>
                        </wps:spPr>
                        <wps:txbx>
                          <w:txbxContent>
                            <w:p>
                              <w:pPr>
                                <w:jc w:val="both"/>
                                <w:rPr>
                                  <w:rFonts w:hint="eastAsia"/>
                                </w:rPr>
                              </w:pPr>
                              <w:r>
                                <w:rPr>
                                  <w:rFonts w:ascii="Verdana" w:hAnsi="Verdana" w:eastAsia="Verdana" w:cs="Verdana"/>
                                  <w:b/>
                                  <w:color w:val="4F81BD"/>
                                  <w:sz w:val="20"/>
                                </w:rPr>
                                <w:t>2</w:t>
                              </w:r>
                            </w:p>
                            <w:p>
                              <w:pPr>
                                <w:ind w:firstLine="300"/>
                                <w:jc w:val="both"/>
                                <w:rPr>
                                  <w:rFonts w:hint="eastAsia"/>
                                </w:rPr>
                              </w:pPr>
                              <w:r>
                                <w:rPr>
                                  <w:rFonts w:ascii="Verdana" w:hAnsi="Verdana" w:eastAsia="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wps:txbx>
                        <wps:bodyPr spcFirstLastPara="1" wrap="square" lIns="91425" tIns="45700" rIns="91425" bIns="45700" anchor="t" anchorCtr="0">
                          <a:noAutofit/>
                        </wps:bodyPr>
                      </wps:wsp>
                      <wps:wsp>
                        <wps:cNvPr id="19" name="Retângulo 19"/>
                        <wps:cNvSpPr/>
                        <wps:spPr>
                          <a:xfrm>
                            <a:off x="3469" y="26154"/>
                            <a:ext cx="10643" cy="1361"/>
                          </a:xfrm>
                          <a:prstGeom prst="rect">
                            <a:avLst/>
                          </a:prstGeom>
                          <a:solidFill>
                            <a:schemeClr val="lt1"/>
                          </a:solidFill>
                          <a:ln w="25400" cap="flat" cmpd="sng">
                            <a:solidFill>
                              <a:schemeClr val="accent1"/>
                            </a:solidFill>
                            <a:prstDash val="solid"/>
                            <a:round/>
                            <a:headEnd type="none" w="sm" len="sm"/>
                            <a:tailEnd type="none" w="sm" len="sm"/>
                          </a:ln>
                        </wps:spPr>
                        <wps:txbx>
                          <w:txbxContent>
                            <w:p>
                              <w:pPr>
                                <w:rPr>
                                  <w:rFonts w:hint="eastAsia"/>
                                </w:rPr>
                              </w:pPr>
                              <w:r>
                                <w:rPr>
                                  <w:rFonts w:ascii="Verdana" w:hAnsi="Verdana" w:eastAsia="Verdana" w:cs="Verdana"/>
                                  <w:b/>
                                  <w:color w:val="4F81BD"/>
                                  <w:sz w:val="20"/>
                                </w:rPr>
                                <w:t xml:space="preserve">3 </w:t>
                              </w:r>
                            </w:p>
                            <w:p>
                              <w:pPr>
                                <w:ind w:firstLine="300"/>
                                <w:jc w:val="both"/>
                                <w:rPr>
                                  <w:rFonts w:hint="eastAsia"/>
                                </w:rPr>
                              </w:pPr>
                              <w:r>
                                <w:rPr>
                                  <w:rFonts w:ascii="Verdana" w:hAnsi="Verdana" w:eastAsia="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pPr>
                                <w:jc w:val="center"/>
                                <w:rPr>
                                  <w:rFonts w:hint="eastAsia"/>
                                </w:rPr>
                              </w:pPr>
                            </w:p>
                          </w:txbxContent>
                        </wps:txbx>
                        <wps:bodyPr spcFirstLastPara="1" wrap="square" lIns="91425" tIns="45700" rIns="91425" bIns="45700" anchor="t" anchorCtr="0">
                          <a:noAutofit/>
                        </wps:bodyPr>
                      </wps:wsp>
                      <wps:wsp>
                        <wps:cNvPr id="18" name="Retângulo 18"/>
                        <wps:cNvSpPr/>
                        <wps:spPr>
                          <a:xfrm>
                            <a:off x="3469" y="27714"/>
                            <a:ext cx="10643" cy="1093"/>
                          </a:xfrm>
                          <a:prstGeom prst="rect">
                            <a:avLst/>
                          </a:prstGeom>
                          <a:solidFill>
                            <a:schemeClr val="lt1"/>
                          </a:solidFill>
                          <a:ln w="25400" cap="flat" cmpd="sng">
                            <a:solidFill>
                              <a:schemeClr val="accent1"/>
                            </a:solidFill>
                            <a:prstDash val="solid"/>
                            <a:round/>
                            <a:headEnd type="none" w="sm" len="sm"/>
                            <a:tailEnd type="none" w="sm" len="sm"/>
                          </a:ln>
                        </wps:spPr>
                        <wps:txbx>
                          <w:txbxContent>
                            <w:p>
                              <w:pPr>
                                <w:rPr>
                                  <w:rFonts w:hint="eastAsia"/>
                                </w:rPr>
                              </w:pPr>
                              <w:r>
                                <w:rPr>
                                  <w:rFonts w:ascii="Verdana" w:hAnsi="Verdana" w:eastAsia="Verdana" w:cs="Verdana"/>
                                  <w:b/>
                                  <w:color w:val="4F81BD"/>
                                  <w:sz w:val="20"/>
                                </w:rPr>
                                <w:t xml:space="preserve">4 </w:t>
                              </w:r>
                            </w:p>
                            <w:p>
                              <w:pPr>
                                <w:ind w:firstLine="300"/>
                                <w:jc w:val="both"/>
                                <w:rPr>
                                  <w:rFonts w:hint="eastAsia"/>
                                </w:rPr>
                              </w:pPr>
                              <w:r>
                                <w:rPr>
                                  <w:rFonts w:ascii="Verdana" w:hAnsi="Verdana" w:eastAsia="Verdana" w:cs="Verdana"/>
                                  <w:color w:val="000000"/>
                                  <w:sz w:val="20"/>
                                </w:rPr>
                                <w:t>Não responderemos e-mails questionando sobre previsões de datas para republicações, bem como, não prestaremos informações por contato telefônico.</w:t>
                              </w:r>
                            </w:p>
                          </w:txbxContent>
                        </wps:txbx>
                        <wps:bodyPr spcFirstLastPara="1" wrap="square" lIns="91425" tIns="45700" rIns="91425" bIns="45700" anchor="t" anchorCtr="0">
                          <a:noAutofit/>
                        </wps:bodyPr>
                      </wps:wsp>
                    </wpg:wgp>
                  </a:graphicData>
                </a:graphic>
              </wp:anchor>
            </w:drawing>
          </mc:Choice>
          <mc:Fallback>
            <w:pict>
              <v:group id="_x0000_s1026" o:spid="_x0000_s1026" o:spt="203" style="position:absolute;left:0pt;margin-left:-23.25pt;margin-top:24.85pt;height:605.55pt;width:533.1pt;z-index:251662336;mso-width-relative:page;mso-height-relative:page;" coordorigin="3463,21415" coordsize="10662,12111" o:gfxdata="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AFI2aW2wAAAAwBAAAPAAAAAAAAAAEA&#10;IAAAACIAAABkcnMvZG93bnJldi54bWxQSwECFAAUAAAACACHTuJAu/tpYQ0EAAAcGQAADgAAAAAA&#10;AAABACAAAAAqAQAAZHJzL2Uyb0RvYy54bWxQSwUGAAAAAAYABgBZAQAAqQcAAAAA&#10;">
                <o:lock v:ext="edit" aspectratio="f"/>
                <v:rect id="_x0000_s1026" o:spid="_x0000_s1026" o:spt="1" style="position:absolute;left:3463;top:29020;height:1287;width:10643;" fillcolor="#FFFFFF [3201]" filled="t" stroked="t" coordsize="21600,21600" o:gfxdata="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lpHFvQAA&#10;ANwAAAAPAAAAAAAAAAEAIAAAACIAAABkcnMvZG93bnJldi54bWxQSwECFAAUAAAACACHTuJAMy8F&#10;njsAAAA5AAAAEAAAAAAAAAABACAAAAAMAQAAZHJzL3NoYXBleG1sLnhtbFBLBQYAAAAABgAGAFsB&#10;AAC2Aw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rPr>
                            <w:rFonts w:hint="eastAsia"/>
                          </w:rPr>
                        </w:pPr>
                        <w:r>
                          <w:rPr>
                            <w:rFonts w:ascii="Verdana" w:hAnsi="Verdana" w:eastAsia="Verdana" w:cs="Verdana"/>
                            <w:b/>
                            <w:color w:val="4F81BD"/>
                            <w:sz w:val="20"/>
                          </w:rPr>
                          <w:t>5</w:t>
                        </w:r>
                      </w:p>
                      <w:p>
                        <w:pPr>
                          <w:ind w:firstLine="300"/>
                          <w:jc w:val="both"/>
                          <w:rPr>
                            <w:rFonts w:hint="eastAsia"/>
                          </w:rPr>
                        </w:pPr>
                        <w:r>
                          <w:rPr>
                            <w:rFonts w:ascii="Verdana" w:hAnsi="Verdana" w:eastAsia="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v:textbox>
                </v:rect>
                <v:rect id="_x0000_s1026" o:spid="_x0000_s1026" o:spt="1" style="position:absolute;left:3483;top:30500;height:1287;width:10643;" fillcolor="#FFFFFF [3201]" filled="t" stroked="t" coordsize="21600,21600" o:gfxdata="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wmxvQAA&#10;ANwAAAAPAAAAAAAAAAEAIAAAACIAAABkcnMvZG93bnJldi54bWxQSwECFAAUAAAACACHTuJAMy8F&#10;njsAAAA5AAAAEAAAAAAAAAABACAAAAAMAQAAZHJzL3NoYXBleG1sLnhtbFBLBQYAAAAABgAGAFsB&#10;AAC2Aw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rPr>
                            <w:rFonts w:hint="eastAsia"/>
                          </w:rPr>
                        </w:pPr>
                        <w:r>
                          <w:rPr>
                            <w:rFonts w:ascii="Verdana" w:hAnsi="Verdana" w:eastAsia="Verdana" w:cs="Verdana"/>
                            <w:b/>
                            <w:color w:val="4F81BD"/>
                            <w:sz w:val="20"/>
                          </w:rPr>
                          <w:t>6</w:t>
                        </w:r>
                      </w:p>
                      <w:p>
                        <w:pPr>
                          <w:ind w:firstLine="300"/>
                          <w:jc w:val="both"/>
                          <w:rPr>
                            <w:rFonts w:hint="eastAsia"/>
                          </w:rPr>
                        </w:pPr>
                        <w:r>
                          <w:rPr>
                            <w:rFonts w:ascii="Verdana" w:hAnsi="Verdana" w:eastAsia="Verdana" w:cs="Verdana"/>
                            <w:color w:val="000000"/>
                            <w:sz w:val="20"/>
                          </w:rPr>
                          <w:t xml:space="preserve">A CLI/AD não encaminha seus Editais e/ou Anexos diretamente ou de forma individualizada aos interessados, que poderão acessá-los nos sítios www.comprasgovernamentais.gov.br ou </w:t>
                        </w:r>
                        <w:r>
                          <w:rPr>
                            <w:rFonts w:eastAsia="Ecofont_Spranq_eco_Sans" w:cs="Ecofont_Spranq_eco_Sans"/>
                            <w:color w:val="000000"/>
                          </w:rPr>
                          <w:t xml:space="preserve"> </w:t>
                        </w:r>
                        <w:r>
                          <w:rPr>
                            <w:rFonts w:ascii="Verdana" w:hAnsi="Verdana" w:eastAsia="Verdana" w:cs="Verdana"/>
                            <w:color w:val="0000FF"/>
                            <w:sz w:val="20"/>
                            <w:u w:val="single"/>
                          </w:rPr>
                          <w:t>https://www.uff.br/?q=licitacoes</w:t>
                        </w:r>
                        <w:r>
                          <w:rPr>
                            <w:rFonts w:ascii="Verdana" w:hAnsi="Verdana" w:eastAsia="Verdana" w:cs="Verdana"/>
                            <w:color w:val="000000"/>
                            <w:sz w:val="20"/>
                          </w:rPr>
                          <w:t xml:space="preserve">. </w:t>
                        </w:r>
                      </w:p>
                      <w:p>
                        <w:pPr>
                          <w:jc w:val="center"/>
                          <w:rPr>
                            <w:rFonts w:hint="eastAsia"/>
                          </w:rPr>
                        </w:pPr>
                      </w:p>
                      <w:p>
                        <w:pPr>
                          <w:ind w:firstLine="300"/>
                          <w:jc w:val="both"/>
                          <w:rPr>
                            <w:rFonts w:hint="eastAsia"/>
                          </w:rPr>
                        </w:pPr>
                      </w:p>
                    </w:txbxContent>
                  </v:textbox>
                </v:rect>
                <v:rect id="_x0000_s1026" o:spid="_x0000_s1026" o:spt="1" style="position:absolute;left:3483;top:31940;height:1586;width:10643;" fillcolor="#FFFFFF [3201]" filled="t" stroked="t" coordsize="21600,21600" o:gfxdata="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t4vQAA&#10;ANwAAAAPAAAAAAAAAAEAIAAAACIAAABkcnMvZG93bnJldi54bWxQSwECFAAUAAAACACHTuJAMy8F&#10;njsAAAA5AAAAEAAAAAAAAAABACAAAAAMAQAAZHJzL3NoYXBleG1sLnhtbFBLBQYAAAAABgAGAFsB&#10;AAC2Aw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rPr>
                            <w:rFonts w:hint="eastAsia"/>
                          </w:rPr>
                        </w:pPr>
                        <w:r>
                          <w:rPr>
                            <w:rFonts w:ascii="Verdana" w:hAnsi="Verdana" w:eastAsia="Verdana" w:cs="Verdana"/>
                            <w:b/>
                            <w:color w:val="4F81BD"/>
                            <w:sz w:val="20"/>
                          </w:rPr>
                          <w:t>7</w:t>
                        </w:r>
                      </w:p>
                      <w:p>
                        <w:pPr>
                          <w:jc w:val="center"/>
                          <w:rPr>
                            <w:rFonts w:hint="eastAsia"/>
                          </w:rPr>
                        </w:pPr>
                        <w:r>
                          <w:rPr>
                            <w:rFonts w:ascii="Verdana" w:hAnsi="Verdana" w:eastAsia="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pPr>
                          <w:jc w:val="center"/>
                          <w:rPr>
                            <w:rFonts w:hint="eastAsia"/>
                          </w:rPr>
                        </w:pPr>
                      </w:p>
                      <w:p>
                        <w:pPr>
                          <w:ind w:firstLine="300"/>
                          <w:jc w:val="both"/>
                          <w:rPr>
                            <w:rFonts w:hint="eastAsia"/>
                          </w:rPr>
                        </w:pPr>
                      </w:p>
                    </w:txbxContent>
                  </v:textbox>
                </v:rect>
                <v:roundrect id="Retângulo: Cantos Arredondados 324" o:spid="_x0000_s1026" o:spt="2" style="position:absolute;left:3914;top:21415;height:906;width:9799;v-text-anchor:middle;" fillcolor="#EEECE1 [3203]" filled="t" stroked="f" coordsize="21600,21600" arcsize="0.130324074074074" o:gfxdata="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oQ2rsAAADb&#10;AAAADwAAAAAAAAABACAAAAAiAAAAZHJzL2Rvd25yZXYueG1sUEsBAhQAFAAAAAgAh07iQDMvBZ47&#10;AAAAOQAAABAAAAAAAAAAAQAgAAAACgEAAGRycy9zaGFwZXhtbC54bWxQSwUGAAAAAAYABgBbAQAA&#10;tAMAAAAA&#10;">
                  <v:fill on="t" focussize="0,0"/>
                  <v:stroke on="f"/>
                  <v:imagedata o:title=""/>
                  <o:lock v:ext="edit" aspectratio="f"/>
                  <v:textbox inset="7.1988188976378pt,3.59842519685039pt,7.1988188976378pt,3.59842519685039pt">
                    <w:txbxContent>
                      <w:p>
                        <w:pPr>
                          <w:spacing w:before="160"/>
                          <w:ind w:right="100"/>
                          <w:jc w:val="center"/>
                          <w:rPr>
                            <w:rFonts w:hint="eastAsia"/>
                          </w:rPr>
                        </w:pPr>
                        <w:r>
                          <w:rPr>
                            <w:rFonts w:ascii="Arial" w:hAnsi="Arial" w:eastAsia="Arial" w:cs="Arial"/>
                            <w:b/>
                            <w:color w:val="000000"/>
                            <w:sz w:val="20"/>
                          </w:rPr>
                          <w:t>A leitura das orientações abaixo não dispensa a leitura integral do Edital e de seus Anexos, bem como da legislação pertinente.</w:t>
                        </w:r>
                      </w:p>
                      <w:p>
                        <w:pPr>
                          <w:jc w:val="both"/>
                          <w:rPr>
                            <w:rFonts w:hint="eastAsia"/>
                          </w:rPr>
                        </w:pPr>
                      </w:p>
                      <w:p>
                        <w:pPr>
                          <w:rPr>
                            <w:rFonts w:hint="eastAsia"/>
                          </w:rPr>
                        </w:pPr>
                      </w:p>
                      <w:p>
                        <w:pPr>
                          <w:rPr>
                            <w:rFonts w:hint="eastAsia"/>
                          </w:rPr>
                        </w:pPr>
                      </w:p>
                    </w:txbxContent>
                  </v:textbox>
                </v:roundrect>
                <v:rect id="_x0000_s1026" o:spid="_x0000_s1026" o:spt="1" style="position:absolute;left:3469;top:22494;height:1888;width:10643;" fillcolor="#FFFFFF [3201]" filled="t" stroked="t" coordsize="21600,21600" o:gfxdata="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eR3O8AAAA&#10;2wAAAA8AAAAAAAAAAQAgAAAAIgAAAGRycy9kb3ducmV2LnhtbFBLAQIUABQAAAAIAIdO4kAzLwWe&#10;OwAAADkAAAAQAAAAAAAAAAEAIAAAAAsBAABkcnMvc2hhcGV4bWwueG1sUEsFBgAAAAAGAAYAWwEA&#10;ALUDA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jc w:val="both"/>
                          <w:rPr>
                            <w:rFonts w:hint="eastAsia"/>
                          </w:rPr>
                        </w:pPr>
                        <w:r>
                          <w:rPr>
                            <w:rFonts w:ascii="Verdana" w:hAnsi="Verdana" w:eastAsia="Verdana" w:cs="Verdana"/>
                            <w:b/>
                            <w:color w:val="4F81BD"/>
                            <w:sz w:val="20"/>
                          </w:rPr>
                          <w:t>1</w:t>
                        </w:r>
                      </w:p>
                      <w:p>
                        <w:pPr>
                          <w:ind w:firstLine="300"/>
                          <w:jc w:val="both"/>
                          <w:rPr>
                            <w:rFonts w:hint="eastAsia"/>
                          </w:rPr>
                        </w:pPr>
                        <w:r>
                          <w:rPr>
                            <w:rFonts w:ascii="Verdana" w:hAnsi="Verdana" w:eastAsia="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pPr>
                          <w:rPr>
                            <w:rFonts w:hint="eastAsia"/>
                          </w:rPr>
                        </w:pPr>
                      </w:p>
                      <w:p>
                        <w:pPr>
                          <w:rPr>
                            <w:rFonts w:hint="eastAsia"/>
                          </w:rPr>
                        </w:pPr>
                      </w:p>
                    </w:txbxContent>
                  </v:textbox>
                </v:rect>
                <v:rect id="_x0000_s1026" o:spid="_x0000_s1026" o:spt="1" style="position:absolute;left:3469;top:24554;height:1376;width:10643;" fillcolor="#FFFFFF [3201]" filled="t" stroked="t" coordsize="21600,21600" o:gfxdata="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S4ui5AAAA2wAA&#10;AA8AAAAAAAAAAQAgAAAAIgAAAGRycy9kb3ducmV2LnhtbFBLAQIUABQAAAAIAIdO4kAzLwWeOwAA&#10;ADkAAAAQAAAAAAAAAAEAIAAAAAgBAABkcnMvc2hhcGV4bWwueG1sUEsFBgAAAAAGAAYAWwEAALID&#10;A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jc w:val="both"/>
                          <w:rPr>
                            <w:rFonts w:hint="eastAsia"/>
                          </w:rPr>
                        </w:pPr>
                        <w:r>
                          <w:rPr>
                            <w:rFonts w:ascii="Verdana" w:hAnsi="Verdana" w:eastAsia="Verdana" w:cs="Verdana"/>
                            <w:b/>
                            <w:color w:val="4F81BD"/>
                            <w:sz w:val="20"/>
                          </w:rPr>
                          <w:t>2</w:t>
                        </w:r>
                      </w:p>
                      <w:p>
                        <w:pPr>
                          <w:ind w:firstLine="300"/>
                          <w:jc w:val="both"/>
                          <w:rPr>
                            <w:rFonts w:hint="eastAsia"/>
                          </w:rPr>
                        </w:pPr>
                        <w:r>
                          <w:rPr>
                            <w:rFonts w:ascii="Verdana" w:hAnsi="Verdana" w:eastAsia="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v:textbox>
                </v:rect>
                <v:rect id="_x0000_s1026" o:spid="_x0000_s1026" o:spt="1" style="position:absolute;left:3469;top:26154;height:1361;width:10643;" fillcolor="#FFFFFF [3201]" filled="t" stroked="t" coordsize="21600,21600" o:gfxdata="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xIHIugAAANsA&#10;AAAPAAAAAAAAAAEAIAAAACIAAABkcnMvZG93bnJldi54bWxQSwECFAAUAAAACACHTuJAMy8FnjsA&#10;AAA5AAAAEAAAAAAAAAABACAAAAAJAQAAZHJzL3NoYXBleG1sLnhtbFBLBQYAAAAABgAGAFsBAACz&#10;Aw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rPr>
                            <w:rFonts w:hint="eastAsia"/>
                          </w:rPr>
                        </w:pPr>
                        <w:r>
                          <w:rPr>
                            <w:rFonts w:ascii="Verdana" w:hAnsi="Verdana" w:eastAsia="Verdana" w:cs="Verdana"/>
                            <w:b/>
                            <w:color w:val="4F81BD"/>
                            <w:sz w:val="20"/>
                          </w:rPr>
                          <w:t xml:space="preserve">3 </w:t>
                        </w:r>
                      </w:p>
                      <w:p>
                        <w:pPr>
                          <w:ind w:firstLine="300"/>
                          <w:jc w:val="both"/>
                          <w:rPr>
                            <w:rFonts w:hint="eastAsia"/>
                          </w:rPr>
                        </w:pPr>
                        <w:r>
                          <w:rPr>
                            <w:rFonts w:ascii="Verdana" w:hAnsi="Verdana" w:eastAsia="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pPr>
                          <w:jc w:val="center"/>
                          <w:rPr>
                            <w:rFonts w:hint="eastAsia"/>
                          </w:rPr>
                        </w:pPr>
                      </w:p>
                    </w:txbxContent>
                  </v:textbox>
                </v:rect>
                <v:rect id="_x0000_s1026" o:spid="_x0000_s1026" o:spt="1" style="position:absolute;left:3469;top:27714;height:1093;width:10643;" fillcolor="#FFFFFF [3201]" filled="t" stroked="t" coordsize="21600,21600" o:gfxdata="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IJFO8AAAA&#10;2wAAAA8AAAAAAAAAAQAgAAAAIgAAAGRycy9kb3ducmV2LnhtbFBLAQIUABQAAAAIAIdO4kAzLwWe&#10;OwAAADkAAAAQAAAAAAAAAAEAIAAAAAsBAABkcnMvc2hhcGV4bWwueG1sUEsFBgAAAAAGAAYAWwEA&#10;ALUDA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rPr>
                            <w:rFonts w:hint="eastAsia"/>
                          </w:rPr>
                        </w:pPr>
                        <w:r>
                          <w:rPr>
                            <w:rFonts w:ascii="Verdana" w:hAnsi="Verdana" w:eastAsia="Verdana" w:cs="Verdana"/>
                            <w:b/>
                            <w:color w:val="4F81BD"/>
                            <w:sz w:val="20"/>
                          </w:rPr>
                          <w:t xml:space="preserve">4 </w:t>
                        </w:r>
                      </w:p>
                      <w:p>
                        <w:pPr>
                          <w:ind w:firstLine="300"/>
                          <w:jc w:val="both"/>
                          <w:rPr>
                            <w:rFonts w:hint="eastAsia"/>
                          </w:rPr>
                        </w:pPr>
                        <w:r>
                          <w:rPr>
                            <w:rFonts w:ascii="Verdana" w:hAnsi="Verdana" w:eastAsia="Verdana" w:cs="Verdana"/>
                            <w:color w:val="000000"/>
                            <w:sz w:val="20"/>
                          </w:rPr>
                          <w:t>Não responderemos e-mails questionando sobre previsões de datas para republicações, bem como, não prestaremos informações por contato telefônico.</w:t>
                        </w:r>
                      </w:p>
                    </w:txbxContent>
                  </v:textbox>
                </v:rect>
              </v:group>
            </w:pict>
          </mc:Fallback>
        </mc:AlternateContent>
      </w:r>
      <w:r>
        <w:br w:type="page"/>
      </w:r>
    </w:p>
    <w:p>
      <w:pPr>
        <w:rPr>
          <w:rFonts w:ascii="Arial" w:hAnsi="Arial" w:cs="Arial"/>
          <w:b/>
          <w:bCs/>
          <w:color w:val="5B5B5F"/>
          <w:sz w:val="28"/>
          <w:szCs w:val="28"/>
        </w:rPr>
      </w:pPr>
      <w:r>
        <mc:AlternateContent>
          <mc:Choice Requires="wpg">
            <w:drawing>
              <wp:anchor distT="0" distB="0" distL="114300" distR="114300" simplePos="0" relativeHeight="251663360" behindDoc="0" locked="0" layoutInCell="1" allowOverlap="1">
                <wp:simplePos x="0" y="0"/>
                <wp:positionH relativeFrom="column">
                  <wp:posOffset>-194310</wp:posOffset>
                </wp:positionH>
                <wp:positionV relativeFrom="paragraph">
                  <wp:posOffset>60325</wp:posOffset>
                </wp:positionV>
                <wp:extent cx="6767195" cy="5166360"/>
                <wp:effectExtent l="0" t="0" r="14605" b="15240"/>
                <wp:wrapNone/>
                <wp:docPr id="23" name="Grupo 23"/>
                <wp:cNvGraphicFramePr/>
                <a:graphic xmlns:a="http://schemas.openxmlformats.org/drawingml/2006/main">
                  <a:graphicData uri="http://schemas.microsoft.com/office/word/2010/wordprocessingGroup">
                    <wpg:wgp>
                      <wpg:cNvGrpSpPr/>
                      <wpg:grpSpPr>
                        <a:xfrm>
                          <a:off x="0" y="0"/>
                          <a:ext cx="6767195" cy="5166360"/>
                          <a:chOff x="3554" y="36339"/>
                          <a:chExt cx="10657" cy="8136"/>
                        </a:xfrm>
                      </wpg:grpSpPr>
                      <wps:wsp>
                        <wps:cNvPr id="15" name="Retângulo 15"/>
                        <wps:cNvSpPr/>
                        <wps:spPr>
                          <a:xfrm>
                            <a:off x="3556" y="42705"/>
                            <a:ext cx="10603" cy="1770"/>
                          </a:xfrm>
                          <a:prstGeom prst="rect">
                            <a:avLst/>
                          </a:prstGeom>
                          <a:solidFill>
                            <a:schemeClr val="lt1"/>
                          </a:solidFill>
                          <a:ln w="25400" cap="flat" cmpd="sng">
                            <a:solidFill>
                              <a:schemeClr val="accent1"/>
                            </a:solidFill>
                            <a:prstDash val="solid"/>
                            <a:round/>
                            <a:headEnd type="none" w="sm" len="sm"/>
                            <a:tailEnd type="none" w="sm" len="sm"/>
                          </a:ln>
                        </wps:spPr>
                        <wps:txbx>
                          <w:txbxContent>
                            <w:p>
                              <w:pPr>
                                <w:jc w:val="both"/>
                                <w:rPr>
                                  <w:rFonts w:hint="eastAsia"/>
                                </w:rPr>
                              </w:pPr>
                              <w:r>
                                <w:rPr>
                                  <w:rFonts w:ascii="Verdana" w:hAnsi="Verdana" w:eastAsia="Verdana" w:cs="Verdana"/>
                                  <w:b/>
                                  <w:color w:val="4F81BD"/>
                                  <w:sz w:val="20"/>
                                </w:rPr>
                                <w:t>12</w:t>
                              </w:r>
                            </w:p>
                            <w:p>
                              <w:pPr>
                                <w:ind w:firstLine="300"/>
                                <w:jc w:val="both"/>
                                <w:rPr>
                                  <w:rFonts w:ascii="Verdana" w:hAnsi="Verdana" w:eastAsia="Verdana" w:cs="Verdana"/>
                                  <w:color w:val="000000"/>
                                  <w:sz w:val="20"/>
                                </w:rPr>
                              </w:pPr>
                              <w:r>
                                <w:rPr>
                                  <w:rFonts w:ascii="Verdana" w:hAnsi="Verdana"/>
                                  <w:sz w:val="20"/>
                                  <w:szCs w:val="20"/>
                                </w:rPr>
                                <w:t xml:space="preserve">    </w:t>
                              </w:r>
                              <w:r>
                                <w:rPr>
                                  <w:rFonts w:ascii="Verdana" w:hAnsi="Verdana" w:eastAsia="Verdana" w:cs="Verdana"/>
                                  <w:b/>
                                  <w:color w:val="000000"/>
                                  <w:sz w:val="20"/>
                                  <w:u w:val="single"/>
                                </w:rPr>
                                <w:t>ATENÇÃO</w:t>
                              </w:r>
                              <w:r>
                                <w:rPr>
                                  <w:rFonts w:ascii="Verdana" w:hAnsi="Verdana" w:eastAsia="Verdana" w:cs="Verdana"/>
                                  <w:color w:val="000000"/>
                                  <w:sz w:val="20"/>
                                </w:rPr>
                                <w:t>: Por se tratar de licitação instruída na nova legislação, há diferenças para cadastro da proposta, portanto, sugerimos os seguintes passos: </w:t>
                              </w:r>
                            </w:p>
                            <w:p>
                              <w:pPr>
                                <w:ind w:firstLine="300"/>
                                <w:jc w:val="both"/>
                                <w:rPr>
                                  <w:rFonts w:ascii="Verdana" w:hAnsi="Verdana" w:eastAsia="Verdana" w:cs="Verdana"/>
                                  <w:color w:val="000000"/>
                                  <w:sz w:val="20"/>
                                </w:rPr>
                              </w:pPr>
                            </w:p>
                            <w:p>
                              <w:pPr>
                                <w:ind w:firstLine="300"/>
                                <w:jc w:val="both"/>
                                <w:rPr>
                                  <w:rFonts w:ascii="Times New Roman" w:hAnsi="Times New Roman" w:eastAsia="Times New Roman" w:cs="Times New Roman"/>
                                  <w:b/>
                                </w:rPr>
                              </w:pPr>
                              <w:r>
                                <w:rPr>
                                  <w:rFonts w:ascii="Verdana" w:hAnsi="Verdana" w:eastAsia="Verdana" w:cs="Verdana"/>
                                  <w:b/>
                                  <w:color w:val="000000"/>
                                  <w:sz w:val="20"/>
                                </w:rPr>
                                <w:t>Acessar sistema comprasnet &gt; serviços ao fornecedor &gt; dispensa/licitação eletrônica (novo) &gt; localizar compra &gt; clicar em participar para cadastrar a proposta.</w:t>
                              </w:r>
                              <w:r>
                                <w:rPr>
                                  <w:rFonts w:ascii="Times New Roman" w:hAnsi="Times New Roman" w:eastAsia="Times New Roman" w:cs="Times New Roman"/>
                                  <w:b/>
                                </w:rPr>
                                <w:t> </w:t>
                              </w:r>
                            </w:p>
                            <w:p>
                              <w:pPr>
                                <w:jc w:val="both"/>
                                <w:rPr>
                                  <w:rFonts w:ascii="Verdana" w:hAnsi="Verdana"/>
                                  <w:sz w:val="20"/>
                                  <w:szCs w:val="20"/>
                                </w:rPr>
                              </w:pPr>
                            </w:p>
                            <w:p>
                              <w:pPr>
                                <w:jc w:val="both"/>
                                <w:rPr>
                                  <w:rFonts w:hint="eastAsia"/>
                                </w:rPr>
                              </w:pPr>
                            </w:p>
                          </w:txbxContent>
                        </wps:txbx>
                        <wps:bodyPr spcFirstLastPara="1" wrap="square" lIns="91425" tIns="45700" rIns="91425" bIns="45700" anchor="t" anchorCtr="0">
                          <a:noAutofit/>
                        </wps:bodyPr>
                      </wps:wsp>
                      <wps:wsp>
                        <wps:cNvPr id="11" name="Retângulo 11"/>
                        <wps:cNvSpPr/>
                        <wps:spPr>
                          <a:xfrm>
                            <a:off x="3554" y="37593"/>
                            <a:ext cx="10643" cy="1512"/>
                          </a:xfrm>
                          <a:prstGeom prst="rect">
                            <a:avLst/>
                          </a:prstGeom>
                          <a:solidFill>
                            <a:schemeClr val="lt1"/>
                          </a:solidFill>
                          <a:ln w="25400" cap="flat" cmpd="sng">
                            <a:solidFill>
                              <a:schemeClr val="accent1"/>
                            </a:solidFill>
                            <a:prstDash val="solid"/>
                            <a:round/>
                            <a:headEnd type="none" w="sm" len="sm"/>
                            <a:tailEnd type="none" w="sm" len="sm"/>
                          </a:ln>
                        </wps:spPr>
                        <wps:txbx>
                          <w:txbxContent>
                            <w:p>
                              <w:pPr>
                                <w:rPr>
                                  <w:rFonts w:hint="eastAsia"/>
                                </w:rPr>
                              </w:pPr>
                              <w:r>
                                <w:rPr>
                                  <w:rFonts w:ascii="Verdana" w:hAnsi="Verdana" w:eastAsia="Verdana" w:cs="Verdana"/>
                                  <w:b/>
                                  <w:color w:val="4F81BD"/>
                                  <w:sz w:val="20"/>
                                </w:rPr>
                                <w:t>9</w:t>
                              </w:r>
                            </w:p>
                            <w:p>
                              <w:pPr>
                                <w:ind w:firstLine="300"/>
                                <w:jc w:val="both"/>
                                <w:rPr>
                                  <w:rFonts w:hint="eastAsia"/>
                                </w:rPr>
                              </w:pPr>
                              <w:r>
                                <w:rPr>
                                  <w:rFonts w:ascii="Verdana" w:hAnsi="Verdana" w:eastAsia="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pPr>
                                <w:ind w:firstLine="300"/>
                                <w:jc w:val="both"/>
                                <w:rPr>
                                  <w:rFonts w:hint="eastAsia"/>
                                </w:rPr>
                              </w:pPr>
                            </w:p>
                          </w:txbxContent>
                        </wps:txbx>
                        <wps:bodyPr spcFirstLastPara="1" wrap="square" lIns="91425" tIns="45700" rIns="91425" bIns="45700" anchor="t" anchorCtr="0">
                          <a:noAutofit/>
                        </wps:bodyPr>
                      </wps:wsp>
                      <wps:wsp>
                        <wps:cNvPr id="12" name="Retângulo 12"/>
                        <wps:cNvSpPr/>
                        <wps:spPr>
                          <a:xfrm>
                            <a:off x="3554" y="39253"/>
                            <a:ext cx="10643" cy="1481"/>
                          </a:xfrm>
                          <a:prstGeom prst="rect">
                            <a:avLst/>
                          </a:prstGeom>
                          <a:solidFill>
                            <a:schemeClr val="lt1"/>
                          </a:solidFill>
                          <a:ln w="25400" cap="flat" cmpd="sng">
                            <a:solidFill>
                              <a:schemeClr val="accent1"/>
                            </a:solidFill>
                            <a:prstDash val="solid"/>
                            <a:round/>
                            <a:headEnd type="none" w="sm" len="sm"/>
                            <a:tailEnd type="none" w="sm" len="sm"/>
                          </a:ln>
                        </wps:spPr>
                        <wps:txbx>
                          <w:txbxContent>
                            <w:p>
                              <w:pPr>
                                <w:rPr>
                                  <w:rFonts w:hint="eastAsia"/>
                                </w:rPr>
                              </w:pPr>
                              <w:r>
                                <w:rPr>
                                  <w:rFonts w:ascii="Verdana" w:hAnsi="Verdana" w:eastAsia="Verdana" w:cs="Verdana"/>
                                  <w:b/>
                                  <w:color w:val="4F81BD"/>
                                  <w:sz w:val="20"/>
                                </w:rPr>
                                <w:t>10</w:t>
                              </w:r>
                            </w:p>
                            <w:p>
                              <w:pPr>
                                <w:ind w:firstLine="300"/>
                                <w:jc w:val="both"/>
                                <w:rPr>
                                  <w:rFonts w:hint="eastAsia"/>
                                </w:rPr>
                              </w:pPr>
                              <w:r>
                                <w:rPr>
                                  <w:rFonts w:ascii="Verdana" w:hAnsi="Verdana" w:eastAsia="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pPr>
                                <w:ind w:firstLine="300"/>
                                <w:jc w:val="both"/>
                                <w:rPr>
                                  <w:rFonts w:hint="eastAsia"/>
                                </w:rPr>
                              </w:pPr>
                            </w:p>
                          </w:txbxContent>
                        </wps:txbx>
                        <wps:bodyPr spcFirstLastPara="1" wrap="square" lIns="91425" tIns="45700" rIns="91425" bIns="45700" anchor="t" anchorCtr="0">
                          <a:noAutofit/>
                        </wps:bodyPr>
                      </wps:wsp>
                      <wps:wsp>
                        <wps:cNvPr id="14" name="Retângulo 14"/>
                        <wps:cNvSpPr/>
                        <wps:spPr>
                          <a:xfrm>
                            <a:off x="3554" y="40873"/>
                            <a:ext cx="10643" cy="1705"/>
                          </a:xfrm>
                          <a:prstGeom prst="rect">
                            <a:avLst/>
                          </a:prstGeom>
                          <a:solidFill>
                            <a:schemeClr val="lt1"/>
                          </a:solidFill>
                          <a:ln w="25400" cap="flat" cmpd="sng">
                            <a:solidFill>
                              <a:schemeClr val="accent1"/>
                            </a:solidFill>
                            <a:prstDash val="solid"/>
                            <a:round/>
                            <a:headEnd type="none" w="sm" len="sm"/>
                            <a:tailEnd type="none" w="sm" len="sm"/>
                          </a:ln>
                        </wps:spPr>
                        <wps:txbx>
                          <w:txbxContent>
                            <w:p>
                              <w:pPr>
                                <w:jc w:val="both"/>
                                <w:rPr>
                                  <w:rFonts w:hint="eastAsia"/>
                                </w:rPr>
                              </w:pPr>
                              <w:r>
                                <w:rPr>
                                  <w:rFonts w:ascii="Verdana" w:hAnsi="Verdana" w:eastAsia="Verdana" w:cs="Verdana"/>
                                  <w:b/>
                                  <w:color w:val="4F81BD"/>
                                  <w:sz w:val="20"/>
                                </w:rPr>
                                <w:t xml:space="preserve">11 </w:t>
                              </w:r>
                            </w:p>
                            <w:p>
                              <w:pPr>
                                <w:ind w:firstLine="300"/>
                                <w:jc w:val="both"/>
                                <w:rPr>
                                  <w:rFonts w:hint="eastAsia"/>
                                </w:rPr>
                              </w:pPr>
                              <w:r>
                                <w:rPr>
                                  <w:rFonts w:ascii="Verdana" w:hAnsi="Verdana" w:eastAsia="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pPr>
                                <w:jc w:val="both"/>
                                <w:rPr>
                                  <w:rFonts w:hint="eastAsia"/>
                                </w:rPr>
                              </w:pPr>
                            </w:p>
                            <w:p>
                              <w:pPr>
                                <w:jc w:val="both"/>
                                <w:rPr>
                                  <w:rFonts w:hint="eastAsia"/>
                                </w:rPr>
                              </w:pPr>
                            </w:p>
                          </w:txbxContent>
                        </wps:txbx>
                        <wps:bodyPr spcFirstLastPara="1" wrap="square" lIns="91425" tIns="45700" rIns="91425" bIns="45700" anchor="t" anchorCtr="0">
                          <a:noAutofit/>
                        </wps:bodyPr>
                      </wps:wsp>
                      <wps:wsp>
                        <wps:cNvPr id="10" name="Retângulo 10"/>
                        <wps:cNvSpPr/>
                        <wps:spPr>
                          <a:xfrm>
                            <a:off x="3568" y="36339"/>
                            <a:ext cx="10643" cy="1063"/>
                          </a:xfrm>
                          <a:prstGeom prst="rect">
                            <a:avLst/>
                          </a:prstGeom>
                          <a:solidFill>
                            <a:schemeClr val="lt1"/>
                          </a:solidFill>
                          <a:ln w="25400" cap="flat" cmpd="sng">
                            <a:solidFill>
                              <a:schemeClr val="accent1"/>
                            </a:solidFill>
                            <a:prstDash val="solid"/>
                            <a:round/>
                            <a:headEnd type="none" w="sm" len="sm"/>
                            <a:tailEnd type="none" w="sm" len="sm"/>
                          </a:ln>
                        </wps:spPr>
                        <wps:txbx>
                          <w:txbxContent>
                            <w:p>
                              <w:pPr>
                                <w:rPr>
                                  <w:rFonts w:hint="eastAsia"/>
                                </w:rPr>
                              </w:pPr>
                              <w:r>
                                <w:rPr>
                                  <w:rFonts w:ascii="Verdana" w:hAnsi="Verdana" w:eastAsia="Verdana" w:cs="Verdana"/>
                                  <w:b/>
                                  <w:color w:val="4F81BD"/>
                                  <w:sz w:val="20"/>
                                </w:rPr>
                                <w:t>8</w:t>
                              </w:r>
                            </w:p>
                            <w:p>
                              <w:pPr>
                                <w:ind w:firstLine="300"/>
                                <w:jc w:val="both"/>
                                <w:rPr>
                                  <w:rFonts w:hint="eastAsia"/>
                                </w:rPr>
                              </w:pPr>
                              <w:r>
                                <w:rPr>
                                  <w:rFonts w:ascii="Verdana" w:hAnsi="Verdana" w:eastAsia="Verdana" w:cs="Verdana"/>
                                  <w:color w:val="000000"/>
                                  <w:sz w:val="20"/>
                                </w:rPr>
                                <w:t xml:space="preserve">Dúvidas acerca de acessos e funcionalidades do sistema eletrônico Gov.br deverão ser dirimidas diretamente com o provedor do portal. </w:t>
                              </w:r>
                            </w:p>
                            <w:p>
                              <w:pPr>
                                <w:ind w:firstLine="300"/>
                                <w:jc w:val="both"/>
                                <w:rPr>
                                  <w:rFonts w:hint="eastAsia"/>
                                </w:rPr>
                              </w:pPr>
                            </w:p>
                          </w:txbxContent>
                        </wps:txbx>
                        <wps:bodyPr spcFirstLastPara="1" wrap="square" lIns="91425" tIns="45700" rIns="91425" bIns="45700" anchor="t" anchorCtr="0">
                          <a:noAutofit/>
                        </wps:bodyPr>
                      </wps:wsp>
                    </wpg:wgp>
                  </a:graphicData>
                </a:graphic>
              </wp:anchor>
            </w:drawing>
          </mc:Choice>
          <mc:Fallback>
            <w:pict>
              <v:group id="_x0000_s1026" o:spid="_x0000_s1026" o:spt="203" style="position:absolute;left:0pt;margin-left:-15.3pt;margin-top:4.75pt;height:406.8pt;width:532.85pt;z-index:251663360;mso-width-relative:page;mso-height-relative:page;" coordorigin="3554,36339" coordsize="10657,8136" o:gfxdata="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Fw/Un7ZAAAACgEAAA8AAAAAAAAAAQAgAAAAIgAAAGRycy9kb3ducmV2&#10;LnhtbFBLAQIUABQAAAAIAIdO4kDa5p0GUQMAAB0RAAAOAAAAAAAAAAEAIAAAACgBAABkcnMvZTJv&#10;RG9jLnhtbFBLBQYAAAAABgAGAFkBAADrBgAAAAA=&#10;">
                <o:lock v:ext="edit" aspectratio="f"/>
                <v:rect id="_x0000_s1026" o:spid="_x0000_s1026" o:spt="1" style="position:absolute;left:3556;top:42705;height:1770;width:10603;" fillcolor="#FFFFFF [3201]" filled="t" stroked="t" coordsize="21600,21600" o:gfxdata="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iYvNugAAANsA&#10;AAAPAAAAAAAAAAEAIAAAACIAAABkcnMvZG93bnJldi54bWxQSwECFAAUAAAACACHTuJAMy8FnjsA&#10;AAA5AAAAEAAAAAAAAAABACAAAAAJAQAAZHJzL3NoYXBleG1sLnhtbFBLBQYAAAAABgAGAFsBAACz&#10;Aw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jc w:val="both"/>
                          <w:rPr>
                            <w:rFonts w:hint="eastAsia"/>
                          </w:rPr>
                        </w:pPr>
                        <w:r>
                          <w:rPr>
                            <w:rFonts w:ascii="Verdana" w:hAnsi="Verdana" w:eastAsia="Verdana" w:cs="Verdana"/>
                            <w:b/>
                            <w:color w:val="4F81BD"/>
                            <w:sz w:val="20"/>
                          </w:rPr>
                          <w:t>12</w:t>
                        </w:r>
                      </w:p>
                      <w:p>
                        <w:pPr>
                          <w:ind w:firstLine="300"/>
                          <w:jc w:val="both"/>
                          <w:rPr>
                            <w:rFonts w:ascii="Verdana" w:hAnsi="Verdana" w:eastAsia="Verdana" w:cs="Verdana"/>
                            <w:color w:val="000000"/>
                            <w:sz w:val="20"/>
                          </w:rPr>
                        </w:pPr>
                        <w:r>
                          <w:rPr>
                            <w:rFonts w:ascii="Verdana" w:hAnsi="Verdana"/>
                            <w:sz w:val="20"/>
                            <w:szCs w:val="20"/>
                          </w:rPr>
                          <w:t xml:space="preserve">    </w:t>
                        </w:r>
                        <w:r>
                          <w:rPr>
                            <w:rFonts w:ascii="Verdana" w:hAnsi="Verdana" w:eastAsia="Verdana" w:cs="Verdana"/>
                            <w:b/>
                            <w:color w:val="000000"/>
                            <w:sz w:val="20"/>
                            <w:u w:val="single"/>
                          </w:rPr>
                          <w:t>ATENÇÃO</w:t>
                        </w:r>
                        <w:r>
                          <w:rPr>
                            <w:rFonts w:ascii="Verdana" w:hAnsi="Verdana" w:eastAsia="Verdana" w:cs="Verdana"/>
                            <w:color w:val="000000"/>
                            <w:sz w:val="20"/>
                          </w:rPr>
                          <w:t>: Por se tratar de licitação instruída na nova legislação, há diferenças para cadastro da proposta, portanto, sugerimos os seguintes passos: </w:t>
                        </w:r>
                      </w:p>
                      <w:p>
                        <w:pPr>
                          <w:ind w:firstLine="300"/>
                          <w:jc w:val="both"/>
                          <w:rPr>
                            <w:rFonts w:ascii="Verdana" w:hAnsi="Verdana" w:eastAsia="Verdana" w:cs="Verdana"/>
                            <w:color w:val="000000"/>
                            <w:sz w:val="20"/>
                          </w:rPr>
                        </w:pPr>
                      </w:p>
                      <w:p>
                        <w:pPr>
                          <w:ind w:firstLine="300"/>
                          <w:jc w:val="both"/>
                          <w:rPr>
                            <w:rFonts w:ascii="Times New Roman" w:hAnsi="Times New Roman" w:eastAsia="Times New Roman" w:cs="Times New Roman"/>
                            <w:b/>
                          </w:rPr>
                        </w:pPr>
                        <w:r>
                          <w:rPr>
                            <w:rFonts w:ascii="Verdana" w:hAnsi="Verdana" w:eastAsia="Verdana" w:cs="Verdana"/>
                            <w:b/>
                            <w:color w:val="000000"/>
                            <w:sz w:val="20"/>
                          </w:rPr>
                          <w:t>Acessar sistema comprasnet &gt; serviços ao fornecedor &gt; dispensa/licitação eletrônica (novo) &gt; localizar compra &gt; clicar em participar para cadastrar a proposta.</w:t>
                        </w:r>
                        <w:r>
                          <w:rPr>
                            <w:rFonts w:ascii="Times New Roman" w:hAnsi="Times New Roman" w:eastAsia="Times New Roman" w:cs="Times New Roman"/>
                            <w:b/>
                          </w:rPr>
                          <w:t> </w:t>
                        </w:r>
                      </w:p>
                      <w:p>
                        <w:pPr>
                          <w:jc w:val="both"/>
                          <w:rPr>
                            <w:rFonts w:ascii="Verdana" w:hAnsi="Verdana"/>
                            <w:sz w:val="20"/>
                            <w:szCs w:val="20"/>
                          </w:rPr>
                        </w:pPr>
                      </w:p>
                      <w:p>
                        <w:pPr>
                          <w:jc w:val="both"/>
                          <w:rPr>
                            <w:rFonts w:hint="eastAsia"/>
                          </w:rPr>
                        </w:pPr>
                      </w:p>
                    </w:txbxContent>
                  </v:textbox>
                </v:rect>
                <v:rect id="_x0000_s1026" o:spid="_x0000_s1026" o:spt="1" style="position:absolute;left:3554;top:37593;height:1512;width:10643;" fillcolor="#FFFFFF [3201]" filled="t" stroked="t" coordsize="21600,21600" o:gfxdata="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so3OugAAANsA&#10;AAAPAAAAAAAAAAEAIAAAACIAAABkcnMvZG93bnJldi54bWxQSwECFAAUAAAACACHTuJAMy8FnjsA&#10;AAA5AAAAEAAAAAAAAAABACAAAAAJAQAAZHJzL3NoYXBleG1sLnhtbFBLBQYAAAAABgAGAFsBAACz&#10;Aw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rPr>
                            <w:rFonts w:hint="eastAsia"/>
                          </w:rPr>
                        </w:pPr>
                        <w:r>
                          <w:rPr>
                            <w:rFonts w:ascii="Verdana" w:hAnsi="Verdana" w:eastAsia="Verdana" w:cs="Verdana"/>
                            <w:b/>
                            <w:color w:val="4F81BD"/>
                            <w:sz w:val="20"/>
                          </w:rPr>
                          <w:t>9</w:t>
                        </w:r>
                      </w:p>
                      <w:p>
                        <w:pPr>
                          <w:ind w:firstLine="300"/>
                          <w:jc w:val="both"/>
                          <w:rPr>
                            <w:rFonts w:hint="eastAsia"/>
                          </w:rPr>
                        </w:pPr>
                        <w:r>
                          <w:rPr>
                            <w:rFonts w:ascii="Verdana" w:hAnsi="Verdana" w:eastAsia="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pPr>
                          <w:ind w:firstLine="300"/>
                          <w:jc w:val="both"/>
                          <w:rPr>
                            <w:rFonts w:hint="eastAsia"/>
                          </w:rPr>
                        </w:pPr>
                      </w:p>
                    </w:txbxContent>
                  </v:textbox>
                </v:rect>
                <v:rect id="_x0000_s1026" o:spid="_x0000_s1026" o:spt="1" style="position:absolute;left:3554;top:39253;height:1481;width:10643;" fillcolor="#FFFFFF [3201]" filled="t" stroked="t" coordsize="21600,21600" o:gfxdata="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YBO5ugAAANsA&#10;AAAPAAAAAAAAAAEAIAAAACIAAABkcnMvZG93bnJldi54bWxQSwECFAAUAAAACACHTuJAMy8FnjsA&#10;AAA5AAAAEAAAAAAAAAABACAAAAAJAQAAZHJzL3NoYXBleG1sLnhtbFBLBQYAAAAABgAGAFsBAACz&#10;Aw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rPr>
                            <w:rFonts w:hint="eastAsia"/>
                          </w:rPr>
                        </w:pPr>
                        <w:r>
                          <w:rPr>
                            <w:rFonts w:ascii="Verdana" w:hAnsi="Verdana" w:eastAsia="Verdana" w:cs="Verdana"/>
                            <w:b/>
                            <w:color w:val="4F81BD"/>
                            <w:sz w:val="20"/>
                          </w:rPr>
                          <w:t>10</w:t>
                        </w:r>
                      </w:p>
                      <w:p>
                        <w:pPr>
                          <w:ind w:firstLine="300"/>
                          <w:jc w:val="both"/>
                          <w:rPr>
                            <w:rFonts w:hint="eastAsia"/>
                          </w:rPr>
                        </w:pPr>
                        <w:r>
                          <w:rPr>
                            <w:rFonts w:ascii="Verdana" w:hAnsi="Verdana" w:eastAsia="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pPr>
                          <w:ind w:firstLine="300"/>
                          <w:jc w:val="both"/>
                          <w:rPr>
                            <w:rFonts w:hint="eastAsia"/>
                          </w:rPr>
                        </w:pPr>
                      </w:p>
                    </w:txbxContent>
                  </v:textbox>
                </v:rect>
                <v:rect id="_x0000_s1026" o:spid="_x0000_s1026" o:spt="1" style="position:absolute;left:3554;top:40873;height:1705;width:10643;" fillcolor="#FFFFFF [3201]" filled="t" stroked="t" coordsize="21600,21600" o:gfxdata="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S5WugAAANsA&#10;AAAPAAAAAAAAAAEAIAAAACIAAABkcnMvZG93bnJldi54bWxQSwECFAAUAAAACACHTuJAMy8FnjsA&#10;AAA5AAAAEAAAAAAAAAABACAAAAAJAQAAZHJzL3NoYXBleG1sLnhtbFBLBQYAAAAABgAGAFsBAACz&#10;Aw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jc w:val="both"/>
                          <w:rPr>
                            <w:rFonts w:hint="eastAsia"/>
                          </w:rPr>
                        </w:pPr>
                        <w:r>
                          <w:rPr>
                            <w:rFonts w:ascii="Verdana" w:hAnsi="Verdana" w:eastAsia="Verdana" w:cs="Verdana"/>
                            <w:b/>
                            <w:color w:val="4F81BD"/>
                            <w:sz w:val="20"/>
                          </w:rPr>
                          <w:t xml:space="preserve">11 </w:t>
                        </w:r>
                      </w:p>
                      <w:p>
                        <w:pPr>
                          <w:ind w:firstLine="300"/>
                          <w:jc w:val="both"/>
                          <w:rPr>
                            <w:rFonts w:hint="eastAsia"/>
                          </w:rPr>
                        </w:pPr>
                        <w:r>
                          <w:rPr>
                            <w:rFonts w:ascii="Verdana" w:hAnsi="Verdana" w:eastAsia="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pPr>
                          <w:jc w:val="both"/>
                          <w:rPr>
                            <w:rFonts w:hint="eastAsia"/>
                          </w:rPr>
                        </w:pPr>
                      </w:p>
                      <w:p>
                        <w:pPr>
                          <w:jc w:val="both"/>
                          <w:rPr>
                            <w:rFonts w:hint="eastAsia"/>
                          </w:rPr>
                        </w:pPr>
                      </w:p>
                    </w:txbxContent>
                  </v:textbox>
                </v:rect>
                <v:rect id="_x0000_s1026" o:spid="_x0000_s1026" o:spt="1" style="position:absolute;left:3568;top:36339;height:1063;width:10643;" fillcolor="#FFFFFF [3201]" filled="t" stroked="t" coordsize="21600,21600" o:gfxdata="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KFW8AAAA&#10;2wAAAA8AAAAAAAAAAQAgAAAAIgAAAGRycy9kb3ducmV2LnhtbFBLAQIUABQAAAAIAIdO4kAzLwWe&#10;OwAAADkAAAAQAAAAAAAAAAEAIAAAAAsBAABkcnMvc2hhcGV4bWwueG1sUEsFBgAAAAAGAAYAWwEA&#10;ALUDA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rPr>
                            <w:rFonts w:hint="eastAsia"/>
                          </w:rPr>
                        </w:pPr>
                        <w:r>
                          <w:rPr>
                            <w:rFonts w:ascii="Verdana" w:hAnsi="Verdana" w:eastAsia="Verdana" w:cs="Verdana"/>
                            <w:b/>
                            <w:color w:val="4F81BD"/>
                            <w:sz w:val="20"/>
                          </w:rPr>
                          <w:t>8</w:t>
                        </w:r>
                      </w:p>
                      <w:p>
                        <w:pPr>
                          <w:ind w:firstLine="300"/>
                          <w:jc w:val="both"/>
                          <w:rPr>
                            <w:rFonts w:hint="eastAsia"/>
                          </w:rPr>
                        </w:pPr>
                        <w:r>
                          <w:rPr>
                            <w:rFonts w:ascii="Verdana" w:hAnsi="Verdana" w:eastAsia="Verdana" w:cs="Verdana"/>
                            <w:color w:val="000000"/>
                            <w:sz w:val="20"/>
                          </w:rPr>
                          <w:t xml:space="preserve">Dúvidas acerca de acessos e funcionalidades do sistema eletrônico Gov.br deverão ser dirimidas diretamente com o provedor do portal. </w:t>
                        </w:r>
                      </w:p>
                      <w:p>
                        <w:pPr>
                          <w:ind w:firstLine="300"/>
                          <w:jc w:val="both"/>
                          <w:rPr>
                            <w:rFonts w:hint="eastAsia"/>
                          </w:rPr>
                        </w:pPr>
                      </w:p>
                    </w:txbxContent>
                  </v:textbox>
                </v:rect>
              </v:group>
            </w:pict>
          </mc:Fallback>
        </mc:AlternateContent>
      </w: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r>
        <mc:AlternateContent>
          <mc:Choice Requires="wps">
            <w:drawing>
              <wp:anchor distT="0" distB="0" distL="114300" distR="114300" simplePos="0" relativeHeight="251664384" behindDoc="0" locked="0" layoutInCell="1" allowOverlap="1">
                <wp:simplePos x="0" y="0"/>
                <wp:positionH relativeFrom="column">
                  <wp:posOffset>-203200</wp:posOffset>
                </wp:positionH>
                <wp:positionV relativeFrom="paragraph">
                  <wp:posOffset>207645</wp:posOffset>
                </wp:positionV>
                <wp:extent cx="6732905" cy="675640"/>
                <wp:effectExtent l="0" t="0" r="10795" b="10160"/>
                <wp:wrapNone/>
                <wp:docPr id="1710891978" name="Retângulo 1"/>
                <wp:cNvGraphicFramePr/>
                <a:graphic xmlns:a="http://schemas.openxmlformats.org/drawingml/2006/main">
                  <a:graphicData uri="http://schemas.microsoft.com/office/word/2010/wordprocessingShape">
                    <wps:wsp>
                      <wps:cNvSpPr/>
                      <wps:spPr>
                        <a:xfrm>
                          <a:off x="0" y="0"/>
                          <a:ext cx="6732905" cy="675861"/>
                        </a:xfrm>
                        <a:prstGeom prst="rect">
                          <a:avLst/>
                        </a:prstGeom>
                        <a:solidFill>
                          <a:schemeClr val="lt1"/>
                        </a:solidFill>
                        <a:ln w="25400" cap="flat" cmpd="sng">
                          <a:solidFill>
                            <a:schemeClr val="accent1"/>
                          </a:solidFill>
                          <a:prstDash val="solid"/>
                          <a:round/>
                          <a:headEnd type="none" w="sm" len="sm"/>
                          <a:tailEnd type="none" w="sm" len="sm"/>
                        </a:ln>
                      </wps:spPr>
                      <wps:txbx>
                        <w:txbxContent>
                          <w:p>
                            <w:pPr>
                              <w:jc w:val="both"/>
                              <w:rPr>
                                <w:rFonts w:hint="eastAsia"/>
                              </w:rPr>
                            </w:pPr>
                            <w:r>
                              <w:rPr>
                                <w:rFonts w:ascii="Verdana" w:hAnsi="Verdana" w:eastAsia="Verdana" w:cs="Verdana"/>
                                <w:b/>
                                <w:color w:val="4F81BD"/>
                                <w:sz w:val="20"/>
                              </w:rPr>
                              <w:t>13</w:t>
                            </w:r>
                          </w:p>
                          <w:p>
                            <w:pPr>
                              <w:ind w:firstLine="300"/>
                              <w:jc w:val="both"/>
                              <w:rPr>
                                <w:rFonts w:hint="eastAsia"/>
                              </w:rPr>
                            </w:pPr>
                            <w:r>
                              <w:rPr>
                                <w:rFonts w:ascii="Verdana" w:hAnsi="Verdana"/>
                                <w:sz w:val="20"/>
                                <w:szCs w:val="20"/>
                              </w:rPr>
                              <w:t xml:space="preserve">    </w:t>
                            </w:r>
                            <w:r>
                              <w:rPr>
                                <w:rFonts w:ascii="Verdana" w:hAnsi="Verdana" w:eastAsia="Verdana" w:cs="Verdana"/>
                                <w:b/>
                                <w:color w:val="000000"/>
                                <w:sz w:val="20"/>
                                <w:u w:val="single"/>
                              </w:rPr>
                              <w:t>ATENÇÃO</w:t>
                            </w:r>
                            <w:r>
                              <w:rPr>
                                <w:rFonts w:ascii="Verdana" w:hAnsi="Verdana" w:eastAsia="Verdana" w:cs="Verdana"/>
                                <w:color w:val="000000"/>
                                <w:sz w:val="20"/>
                              </w:rPr>
                              <w:t>: Por se tratar de licitação instruída na nova legislação, assim como atualização do sistema, no momento do cadastro da proposta só aparece o campo de inclusão dos valores.</w:t>
                            </w:r>
                          </w:p>
                          <w:p>
                            <w:pPr>
                              <w:ind w:firstLine="300"/>
                              <w:jc w:val="both"/>
                              <w:rPr>
                                <w:rFonts w:ascii="Times New Roman" w:hAnsi="Times New Roman" w:eastAsia="Times New Roman" w:cs="Times New Roman"/>
                                <w:b/>
                              </w:rPr>
                            </w:pPr>
                          </w:p>
                          <w:p>
                            <w:pPr>
                              <w:jc w:val="both"/>
                              <w:rPr>
                                <w:rFonts w:ascii="Verdana" w:hAnsi="Verdana"/>
                                <w:sz w:val="20"/>
                                <w:szCs w:val="20"/>
                              </w:rPr>
                            </w:pPr>
                          </w:p>
                          <w:p>
                            <w:pPr>
                              <w:jc w:val="both"/>
                              <w:rPr>
                                <w:rFonts w:hint="eastAsia"/>
                              </w:rPr>
                            </w:pPr>
                          </w:p>
                        </w:txbxContent>
                      </wps:txbx>
                      <wps:bodyPr spcFirstLastPara="1" wrap="square" lIns="91425" tIns="45700" rIns="91425" bIns="45700" anchor="t" anchorCtr="0">
                        <a:noAutofit/>
                      </wps:bodyPr>
                    </wps:wsp>
                  </a:graphicData>
                </a:graphic>
              </wp:anchor>
            </w:drawing>
          </mc:Choice>
          <mc:Fallback>
            <w:pict>
              <v:rect id="Retângulo 1" o:spid="_x0000_s1026" o:spt="1" style="position:absolute;left:0pt;margin-left:-16pt;margin-top:16.35pt;height:53.2pt;width:530.15pt;z-index:251664384;mso-width-relative:page;mso-height-relative:page;" fillcolor="#FFFFFF [3201]" filled="t" stroked="t" coordsize="21600,21600" o:gfxdata="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vCInK1wAAAAsBAAAPAAAAAAAAAAEA&#10;IAAAACIAAABkcnMvZG93bnJldi54bWxQSwECFAAUAAAACACHTuJA7+9ZWkkCAACxBAAADgAAAAAA&#10;AAABACAAAAAmAQAAZHJzL2Uyb0RvYy54bWxQSwUGAAAAAAYABgBZAQAA4QUAAAAA&#10;">
                <v:fill on="t" focussize="0,0"/>
                <v:stroke weight="2pt" color="#4F81BD [3204]" joinstyle="round" startarrowwidth="narrow" startarrowlength="short" endarrowwidth="narrow" endarrowlength="short"/>
                <v:imagedata o:title=""/>
                <o:lock v:ext="edit" aspectratio="f"/>
                <v:textbox inset="7.1988188976378pt,3.59842519685039pt,7.1988188976378pt,3.59842519685039pt">
                  <w:txbxContent>
                    <w:p>
                      <w:pPr>
                        <w:jc w:val="both"/>
                        <w:rPr>
                          <w:rFonts w:hint="eastAsia"/>
                        </w:rPr>
                      </w:pPr>
                      <w:r>
                        <w:rPr>
                          <w:rFonts w:ascii="Verdana" w:hAnsi="Verdana" w:eastAsia="Verdana" w:cs="Verdana"/>
                          <w:b/>
                          <w:color w:val="4F81BD"/>
                          <w:sz w:val="20"/>
                        </w:rPr>
                        <w:t>13</w:t>
                      </w:r>
                    </w:p>
                    <w:p>
                      <w:pPr>
                        <w:ind w:firstLine="300"/>
                        <w:jc w:val="both"/>
                        <w:rPr>
                          <w:rFonts w:hint="eastAsia"/>
                        </w:rPr>
                      </w:pPr>
                      <w:r>
                        <w:rPr>
                          <w:rFonts w:ascii="Verdana" w:hAnsi="Verdana"/>
                          <w:sz w:val="20"/>
                          <w:szCs w:val="20"/>
                        </w:rPr>
                        <w:t xml:space="preserve">    </w:t>
                      </w:r>
                      <w:r>
                        <w:rPr>
                          <w:rFonts w:ascii="Verdana" w:hAnsi="Verdana" w:eastAsia="Verdana" w:cs="Verdana"/>
                          <w:b/>
                          <w:color w:val="000000"/>
                          <w:sz w:val="20"/>
                          <w:u w:val="single"/>
                        </w:rPr>
                        <w:t>ATENÇÃO</w:t>
                      </w:r>
                      <w:r>
                        <w:rPr>
                          <w:rFonts w:ascii="Verdana" w:hAnsi="Verdana" w:eastAsia="Verdana" w:cs="Verdana"/>
                          <w:color w:val="000000"/>
                          <w:sz w:val="20"/>
                        </w:rPr>
                        <w:t>: Por se tratar de licitação instruída na nova legislação, assim como atualização do sistema, no momento do cadastro da proposta só aparece o campo de inclusão dos valores.</w:t>
                      </w:r>
                    </w:p>
                    <w:p>
                      <w:pPr>
                        <w:ind w:firstLine="300"/>
                        <w:jc w:val="both"/>
                        <w:rPr>
                          <w:rFonts w:ascii="Times New Roman" w:hAnsi="Times New Roman" w:eastAsia="Times New Roman" w:cs="Times New Roman"/>
                          <w:b/>
                        </w:rPr>
                      </w:pPr>
                    </w:p>
                    <w:p>
                      <w:pPr>
                        <w:jc w:val="both"/>
                        <w:rPr>
                          <w:rFonts w:ascii="Verdana" w:hAnsi="Verdana"/>
                          <w:sz w:val="20"/>
                          <w:szCs w:val="20"/>
                        </w:rPr>
                      </w:pPr>
                    </w:p>
                    <w:p>
                      <w:pPr>
                        <w:jc w:val="both"/>
                        <w:rPr>
                          <w:rFonts w:hint="eastAsia"/>
                        </w:rPr>
                      </w:pPr>
                    </w:p>
                  </w:txbxContent>
                </v:textbox>
              </v:rect>
            </w:pict>
          </mc:Fallback>
        </mc:AlternateContent>
      </w: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sdt>
      <w:sdtPr>
        <w:rPr>
          <w:rFonts w:ascii="Ecofont_Spranq_eco_Sans" w:hAnsi="Ecofont_Spranq_eco_Sans" w:cs="Tahoma" w:eastAsiaTheme="minorEastAsia"/>
          <w:color w:val="auto"/>
          <w:sz w:val="24"/>
          <w:szCs w:val="24"/>
        </w:rPr>
        <w:id w:val="-797143538"/>
        <w:docPartObj>
          <w:docPartGallery w:val="Table of Contents"/>
          <w:docPartUnique/>
        </w:docPartObj>
      </w:sdtPr>
      <w:sdtEndPr>
        <w:rPr>
          <w:rFonts w:ascii="Ecofont_Spranq_eco_Sans" w:hAnsi="Ecofont_Spranq_eco_Sans" w:cs="Tahoma" w:eastAsiaTheme="minorEastAsia"/>
          <w:b/>
          <w:bCs/>
          <w:color w:val="auto"/>
          <w:sz w:val="24"/>
          <w:szCs w:val="24"/>
        </w:rPr>
      </w:sdtEndPr>
      <w:sdtContent>
        <w:p>
          <w:pPr>
            <w:pStyle w:val="124"/>
          </w:pPr>
          <w:bookmarkStart w:id="0" w:name="_Toc130201037"/>
          <w:r>
            <w:t>Sumário</w:t>
          </w:r>
          <w:bookmarkEnd w:id="0"/>
        </w:p>
        <w:p>
          <w:pPr>
            <w:rPr>
              <w:rFonts w:hint="eastAsia"/>
            </w:rPr>
          </w:pPr>
        </w:p>
        <w:p>
          <w:pPr>
            <w:pStyle w:val="25"/>
            <w:rPr>
              <w:rFonts w:asciiTheme="minorHAnsi" w:hAnsiTheme="minorHAnsi" w:eastAsiaTheme="minorEastAsia" w:cstheme="minorBidi"/>
              <w:sz w:val="22"/>
              <w:szCs w:val="22"/>
            </w:rPr>
          </w:pPr>
          <w:r>
            <w:fldChar w:fldCharType="begin"/>
          </w:r>
          <w:r>
            <w:instrText xml:space="preserve"> TOC \o "1-3" \h \z \u </w:instrText>
          </w:r>
          <w:r>
            <w:fldChar w:fldCharType="separate"/>
          </w:r>
          <w:r>
            <w:fldChar w:fldCharType="begin"/>
          </w:r>
          <w:r>
            <w:instrText xml:space="preserve"> HYPERLINK \l "_Toc130201039" </w:instrText>
          </w:r>
          <w:r>
            <w:fldChar w:fldCharType="separate"/>
          </w:r>
          <w:r>
            <w:rPr>
              <w:rStyle w:val="13"/>
              <w:lang w:eastAsia="en-US"/>
            </w:rPr>
            <w:t>1.</w:t>
          </w:r>
          <w:r>
            <w:rPr>
              <w:rFonts w:asciiTheme="minorHAnsi" w:hAnsiTheme="minorHAnsi" w:eastAsiaTheme="minorEastAsia" w:cstheme="minorBidi"/>
              <w:sz w:val="22"/>
              <w:szCs w:val="22"/>
            </w:rPr>
            <w:tab/>
          </w:r>
          <w:r>
            <w:rPr>
              <w:rStyle w:val="13"/>
              <w:lang w:eastAsia="en-US"/>
            </w:rPr>
            <w:t>DO OBJETO</w:t>
          </w:r>
          <w:r>
            <w:tab/>
          </w:r>
          <w:r>
            <w:fldChar w:fldCharType="begin"/>
          </w:r>
          <w:r>
            <w:instrText xml:space="preserve"> PAGEREF _Toc130201039 \h </w:instrText>
          </w:r>
          <w:r>
            <w:fldChar w:fldCharType="separate"/>
          </w:r>
          <w:r>
            <w:t>5</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"_Toc130201040" </w:instrText>
          </w:r>
          <w:r>
            <w:fldChar w:fldCharType="separate"/>
          </w:r>
          <w:r>
            <w:rPr>
              <w:rStyle w:val="13"/>
              <w:lang w:eastAsia="en-US"/>
            </w:rPr>
            <w:t>2.</w:t>
          </w:r>
          <w:r>
            <w:rPr>
              <w:rFonts w:asciiTheme="minorHAnsi" w:hAnsiTheme="minorHAnsi" w:eastAsiaTheme="minorEastAsia" w:cstheme="minorBidi"/>
              <w:sz w:val="22"/>
              <w:szCs w:val="22"/>
            </w:rPr>
            <w:tab/>
          </w:r>
          <w:r>
            <w:rPr>
              <w:rStyle w:val="13"/>
              <w:lang w:eastAsia="en-US"/>
            </w:rPr>
            <w:t>DA PARTICIPAÇÃO NA LICITAÇÃO</w:t>
          </w:r>
          <w:r>
            <w:tab/>
          </w:r>
          <w:r>
            <w:fldChar w:fldCharType="begin"/>
          </w:r>
          <w:r>
            <w:instrText xml:space="preserve"> PAGEREF _Toc130201040 \h </w:instrText>
          </w:r>
          <w:r>
            <w:fldChar w:fldCharType="separate"/>
          </w:r>
          <w:r>
            <w:t>6</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"_Toc130201041" </w:instrText>
          </w:r>
          <w:r>
            <w:fldChar w:fldCharType="separate"/>
          </w:r>
          <w:r>
            <w:rPr>
              <w:rStyle w:val="13"/>
              <w:lang w:eastAsia="en-US"/>
            </w:rPr>
            <w:t>3.</w:t>
          </w:r>
          <w:r>
            <w:rPr>
              <w:rFonts w:asciiTheme="minorHAnsi" w:hAnsiTheme="minorHAnsi" w:eastAsiaTheme="minorEastAsia" w:cstheme="minorBidi"/>
              <w:sz w:val="22"/>
              <w:szCs w:val="22"/>
            </w:rPr>
            <w:tab/>
          </w:r>
          <w:r>
            <w:rPr>
              <w:rStyle w:val="13"/>
              <w:lang w:eastAsia="en-US"/>
            </w:rPr>
            <w:t>DA APRESENTAÇÃO DA PROPOSTA E DOS DOCUMENTOS DE HABILITAÇÃO</w:t>
          </w:r>
          <w:r>
            <w:tab/>
          </w:r>
          <w:r>
            <w:fldChar w:fldCharType="begin"/>
          </w:r>
          <w:r>
            <w:instrText xml:space="preserve"> PAGEREF _Toc130201041 \h </w:instrText>
          </w:r>
          <w:r>
            <w:fldChar w:fldCharType="separate"/>
          </w:r>
          <w:r>
            <w:t>8</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"_Toc130201042" </w:instrText>
          </w:r>
          <w:r>
            <w:fldChar w:fldCharType="separate"/>
          </w:r>
          <w:r>
            <w:rPr>
              <w:rStyle w:val="13"/>
              <w:lang w:eastAsia="en-US"/>
            </w:rPr>
            <w:t>4.</w:t>
          </w:r>
          <w:r>
            <w:rPr>
              <w:rFonts w:asciiTheme="minorHAnsi" w:hAnsiTheme="minorHAnsi" w:eastAsiaTheme="minorEastAsia" w:cstheme="minorBidi"/>
              <w:sz w:val="22"/>
              <w:szCs w:val="22"/>
            </w:rPr>
            <w:tab/>
          </w:r>
          <w:r>
            <w:rPr>
              <w:rStyle w:val="13"/>
              <w:lang w:eastAsia="en-US"/>
            </w:rPr>
            <w:t>DO PREENCHIMENTO DA PROPOSTA</w:t>
          </w:r>
          <w:r>
            <w:tab/>
          </w:r>
          <w:r>
            <w:fldChar w:fldCharType="begin"/>
          </w:r>
          <w:r>
            <w:instrText xml:space="preserve"> PAGEREF _Toc130201042 \h </w:instrText>
          </w:r>
          <w:r>
            <w:fldChar w:fldCharType="separate"/>
          </w:r>
          <w:r>
            <w:t>10</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"_Toc130201043" </w:instrText>
          </w:r>
          <w:r>
            <w:fldChar w:fldCharType="separate"/>
          </w:r>
          <w:r>
            <w:rPr>
              <w:rStyle w:val="13"/>
              <w:lang w:eastAsia="en-US"/>
            </w:rPr>
            <w:t>5.</w:t>
          </w:r>
          <w:r>
            <w:rPr>
              <w:rFonts w:asciiTheme="minorHAnsi" w:hAnsiTheme="minorHAnsi" w:eastAsiaTheme="minorEastAsia" w:cstheme="minorBidi"/>
              <w:sz w:val="22"/>
              <w:szCs w:val="22"/>
            </w:rPr>
            <w:tab/>
          </w:r>
          <w:r>
            <w:rPr>
              <w:rStyle w:val="13"/>
              <w:lang w:eastAsia="en-US"/>
            </w:rPr>
            <w:t>DA ABERTURA DA SESSÃO, CLASSIFICAÇÃO DAS PROPOSTAS E FORMULAÇÃO DE LANCES</w:t>
          </w:r>
          <w:r>
            <w:tab/>
          </w:r>
          <w:r>
            <w:fldChar w:fldCharType="begin"/>
          </w:r>
          <w:r>
            <w:instrText xml:space="preserve"> PAGEREF _Toc130201043 \h </w:instrText>
          </w:r>
          <w:r>
            <w:fldChar w:fldCharType="separate"/>
          </w:r>
          <w:r>
            <w:t>11</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"_Toc130201044" </w:instrText>
          </w:r>
          <w:r>
            <w:fldChar w:fldCharType="separate"/>
          </w:r>
          <w:r>
            <w:rPr>
              <w:rStyle w:val="13"/>
              <w:lang w:eastAsia="en-US"/>
            </w:rPr>
            <w:t>6.</w:t>
          </w:r>
          <w:r>
            <w:rPr>
              <w:rFonts w:asciiTheme="minorHAnsi" w:hAnsiTheme="minorHAnsi" w:eastAsiaTheme="minorEastAsia" w:cstheme="minorBidi"/>
              <w:sz w:val="22"/>
              <w:szCs w:val="22"/>
            </w:rPr>
            <w:tab/>
          </w:r>
          <w:r>
            <w:rPr>
              <w:rStyle w:val="13"/>
              <w:lang w:eastAsia="en-US"/>
            </w:rPr>
            <w:t>DA FASE DE JULGAMENTO</w:t>
          </w:r>
          <w:r>
            <w:tab/>
          </w:r>
          <w:r>
            <w:fldChar w:fldCharType="begin"/>
          </w:r>
          <w:r>
            <w:instrText xml:space="preserve"> PAGEREF _Toc130201044 \h </w:instrText>
          </w:r>
          <w:r>
            <w:fldChar w:fldCharType="separate"/>
          </w:r>
          <w:r>
            <w:t>15</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"_Toc130201045" </w:instrText>
          </w:r>
          <w:r>
            <w:fldChar w:fldCharType="separate"/>
          </w:r>
          <w:r>
            <w:rPr>
              <w:rStyle w:val="13"/>
              <w:lang w:eastAsia="en-US"/>
            </w:rPr>
            <w:t>7.</w:t>
          </w:r>
          <w:r>
            <w:rPr>
              <w:rFonts w:asciiTheme="minorHAnsi" w:hAnsiTheme="minorHAnsi" w:eastAsiaTheme="minorEastAsia" w:cstheme="minorBidi"/>
              <w:sz w:val="22"/>
              <w:szCs w:val="22"/>
            </w:rPr>
            <w:tab/>
          </w:r>
          <w:r>
            <w:rPr>
              <w:rStyle w:val="13"/>
              <w:lang w:eastAsia="en-US"/>
            </w:rPr>
            <w:t>DA FASE DE HABILITAÇÃO</w:t>
          </w:r>
          <w:r>
            <w:tab/>
          </w:r>
          <w:r>
            <w:fldChar w:fldCharType="begin"/>
          </w:r>
          <w:r>
            <w:instrText xml:space="preserve"> PAGEREF _Toc130201045 \h </w:instrText>
          </w:r>
          <w:r>
            <w:fldChar w:fldCharType="separate"/>
          </w:r>
          <w:r>
            <w:t>18</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"_Toc130201046" </w:instrText>
          </w:r>
          <w:r>
            <w:fldChar w:fldCharType="separate"/>
          </w:r>
          <w:r>
            <w:rPr>
              <w:rStyle w:val="13"/>
              <w:lang w:eastAsia="en-US"/>
            </w:rPr>
            <w:t>8.</w:t>
          </w:r>
          <w:r>
            <w:rPr>
              <w:rFonts w:asciiTheme="minorHAnsi" w:hAnsiTheme="minorHAnsi" w:eastAsiaTheme="minorEastAsia" w:cstheme="minorBidi"/>
              <w:sz w:val="22"/>
              <w:szCs w:val="22"/>
            </w:rPr>
            <w:tab/>
          </w:r>
          <w:r>
            <w:rPr>
              <w:rStyle w:val="13"/>
              <w:lang w:eastAsia="en-US"/>
            </w:rPr>
            <w:t>DOS RECURSOS</w:t>
          </w:r>
          <w:r>
            <w:tab/>
          </w:r>
          <w:r>
            <w:fldChar w:fldCharType="begin"/>
          </w:r>
          <w:r>
            <w:instrText xml:space="preserve"> PAGEREF _Toc130201046 \h </w:instrText>
          </w:r>
          <w:r>
            <w:fldChar w:fldCharType="separate"/>
          </w:r>
          <w:r>
            <w:t>21</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"_Toc130201047" </w:instrText>
          </w:r>
          <w:r>
            <w:fldChar w:fldCharType="separate"/>
          </w:r>
          <w:r>
            <w:rPr>
              <w:rStyle w:val="13"/>
              <w:lang w:eastAsia="en-US"/>
            </w:rPr>
            <w:t>9.</w:t>
          </w:r>
          <w:r>
            <w:rPr>
              <w:rFonts w:asciiTheme="minorHAnsi" w:hAnsiTheme="minorHAnsi" w:eastAsiaTheme="minorEastAsia" w:cstheme="minorBidi"/>
              <w:sz w:val="22"/>
              <w:szCs w:val="22"/>
            </w:rPr>
            <w:tab/>
          </w:r>
          <w:r>
            <w:rPr>
              <w:rStyle w:val="13"/>
              <w:lang w:eastAsia="en-US"/>
            </w:rPr>
            <w:t>DAS INFRAÇÕES ADMINISTRATIVAS E SANÇÕES</w:t>
          </w:r>
          <w:r>
            <w:tab/>
          </w:r>
          <w:r>
            <w:fldChar w:fldCharType="begin"/>
          </w:r>
          <w:r>
            <w:instrText xml:space="preserve"> PAGEREF _Toc130201047 \h </w:instrText>
          </w:r>
          <w:r>
            <w:fldChar w:fldCharType="separate"/>
          </w:r>
          <w:r>
            <w:t>22</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"_Toc130201048" </w:instrText>
          </w:r>
          <w:r>
            <w:fldChar w:fldCharType="separate"/>
          </w:r>
          <w:r>
            <w:rPr>
              <w:rStyle w:val="13"/>
              <w:lang w:eastAsia="en-US"/>
            </w:rPr>
            <w:t>10.</w:t>
          </w:r>
          <w:r>
            <w:rPr>
              <w:rFonts w:asciiTheme="minorHAnsi" w:hAnsiTheme="minorHAnsi" w:eastAsiaTheme="minorEastAsia" w:cstheme="minorBidi"/>
              <w:sz w:val="22"/>
              <w:szCs w:val="22"/>
            </w:rPr>
            <w:tab/>
          </w:r>
          <w:r>
            <w:rPr>
              <w:rStyle w:val="13"/>
              <w:lang w:eastAsia="en-US"/>
            </w:rPr>
            <w:t>DA IMPUGNAÇÃO AO EDITAL E DO PEDIDO DE ESCLARECIMENTO</w:t>
          </w:r>
          <w:r>
            <w:tab/>
          </w:r>
          <w:r>
            <w:fldChar w:fldCharType="begin"/>
          </w:r>
          <w:r>
            <w:instrText xml:space="preserve"> PAGEREF _Toc130201048 \h </w:instrText>
          </w:r>
          <w:r>
            <w:fldChar w:fldCharType="separate"/>
          </w:r>
          <w:r>
            <w:t>24</w:t>
          </w:r>
          <w:r>
            <w:fldChar w:fldCharType="end"/>
          </w:r>
          <w:r>
            <w:fldChar w:fldCharType="end"/>
          </w:r>
        </w:p>
        <w:p>
          <w:pPr>
            <w:pStyle w:val="25"/>
            <w:rPr>
              <w:rFonts w:asciiTheme="minorHAnsi" w:hAnsiTheme="minorHAnsi" w:eastAsiaTheme="minorEastAsia" w:cstheme="minorBidi"/>
              <w:sz w:val="22"/>
              <w:szCs w:val="22"/>
            </w:rPr>
          </w:pPr>
          <w:r>
            <w:fldChar w:fldCharType="begin"/>
          </w:r>
          <w:r>
            <w:instrText xml:space="preserve"> HYPERLINK \l "_Toc130201049" </w:instrText>
          </w:r>
          <w:r>
            <w:fldChar w:fldCharType="separate"/>
          </w:r>
          <w:r>
            <w:rPr>
              <w:rStyle w:val="13"/>
              <w:lang w:eastAsia="en-US"/>
            </w:rPr>
            <w:t>11.</w:t>
          </w:r>
          <w:r>
            <w:rPr>
              <w:rFonts w:asciiTheme="minorHAnsi" w:hAnsiTheme="minorHAnsi" w:eastAsiaTheme="minorEastAsia" w:cstheme="minorBidi"/>
              <w:sz w:val="22"/>
              <w:szCs w:val="22"/>
            </w:rPr>
            <w:tab/>
          </w:r>
          <w:r>
            <w:rPr>
              <w:rStyle w:val="13"/>
              <w:lang w:eastAsia="en-US"/>
            </w:rPr>
            <w:t>DAS DISPOSIÇÕES GERAIS</w:t>
          </w:r>
          <w:r>
            <w:tab/>
          </w:r>
          <w:r>
            <w:fldChar w:fldCharType="begin"/>
          </w:r>
          <w:r>
            <w:instrText xml:space="preserve"> PAGEREF _Toc130201049 \h </w:instrText>
          </w:r>
          <w:r>
            <w:fldChar w:fldCharType="separate"/>
          </w:r>
          <w:r>
            <w:t>25</w:t>
          </w:r>
          <w:r>
            <w:fldChar w:fldCharType="end"/>
          </w:r>
          <w:r>
            <w:fldChar w:fldCharType="end"/>
          </w:r>
        </w:p>
        <w:p>
          <w:pPr>
            <w:rPr>
              <w:rFonts w:hint="eastAsia"/>
            </w:rPr>
          </w:pPr>
          <w:r>
            <w:rPr>
              <w:b/>
              <w:bCs/>
            </w:rPr>
            <w:fldChar w:fldCharType="end"/>
          </w:r>
        </w:p>
      </w:sdtContent>
    </w:sdt>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rPr>
          <w:rFonts w:ascii="Arial" w:hAnsi="Arial" w:cs="Arial"/>
          <w:b/>
          <w:bCs/>
          <w:color w:val="5B5B5F"/>
          <w:sz w:val="28"/>
          <w:szCs w:val="28"/>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p>
    <w:p>
      <w:pPr>
        <w:spacing w:before="288" w:after="288" w:line="312" w:lineRule="auto"/>
        <w:ind w:firstLine="567"/>
        <w:rPr>
          <w:rFonts w:ascii="Arial" w:hAnsi="Arial" w:cs="Arial"/>
          <w:b/>
          <w:bCs/>
          <w:color w:val="000000"/>
          <w:sz w:val="20"/>
          <w:szCs w:val="20"/>
        </w:rPr>
      </w:pPr>
      <w:r>
        <w:rPr>
          <w:rFonts w:ascii="Arial" w:hAnsi="Arial" w:cs="Arial"/>
          <w:b/>
          <w:bCs/>
          <w:color w:val="000000"/>
          <w:sz w:val="20"/>
          <w:szCs w:val="20"/>
        </w:rPr>
        <w:drawing>
          <wp:anchor distT="0" distB="0" distL="0" distR="0" simplePos="0" relativeHeight="251659264" behindDoc="0" locked="0" layoutInCell="1" allowOverlap="1">
            <wp:simplePos x="0" y="0"/>
            <wp:positionH relativeFrom="column">
              <wp:posOffset>2694940</wp:posOffset>
            </wp:positionH>
            <wp:positionV relativeFrom="paragraph">
              <wp:posOffset>121285</wp:posOffset>
            </wp:positionV>
            <wp:extent cx="640080" cy="619125"/>
            <wp:effectExtent l="0" t="0" r="762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a:xfrm>
                      <a:off x="0" y="0"/>
                      <a:ext cx="640080" cy="619125"/>
                    </a:xfrm>
                    <a:prstGeom prst="rect">
                      <a:avLst/>
                    </a:prstGeom>
                  </pic:spPr>
                </pic:pic>
              </a:graphicData>
            </a:graphic>
          </wp:anchor>
        </w:drawing>
      </w:r>
    </w:p>
    <w:p>
      <w:pPr>
        <w:spacing w:before="288" w:after="288" w:line="312" w:lineRule="auto"/>
        <w:ind w:firstLine="567"/>
        <w:jc w:val="center"/>
        <w:rPr>
          <w:rFonts w:ascii="Arial" w:hAnsi="Arial" w:cs="Arial"/>
          <w:b/>
          <w:i/>
          <w:color w:val="FF0000"/>
          <w:sz w:val="20"/>
          <w:szCs w:val="20"/>
        </w:rPr>
      </w:pPr>
    </w:p>
    <w:p>
      <w:pPr>
        <w:tabs>
          <w:tab w:val="left" w:pos="6284"/>
        </w:tabs>
        <w:jc w:val="center"/>
        <w:rPr>
          <w:rFonts w:hint="eastAsia"/>
        </w:rPr>
      </w:pPr>
      <w:r>
        <w:rPr>
          <w:rFonts w:ascii="Calibri" w:hAnsi="Calibri" w:eastAsia="Calibri" w:cs="Calibri"/>
          <w:b/>
          <w:sz w:val="22"/>
          <w:szCs w:val="22"/>
        </w:rPr>
        <w:t>MINISTÉRIO DA EDUCAÇÃO</w:t>
      </w:r>
    </w:p>
    <w:p>
      <w:pPr>
        <w:pStyle w:val="2"/>
        <w:spacing w:before="0"/>
        <w:jc w:val="center"/>
      </w:pPr>
      <w:bookmarkStart w:id="1" w:name="_Toc130201038"/>
      <w:r>
        <w:rPr>
          <w:rFonts w:eastAsia="Calibri" w:cs="Calibri"/>
          <w:color w:val="000000"/>
          <w:sz w:val="22"/>
          <w:szCs w:val="22"/>
        </w:rPr>
        <w:t>UNIVERSIDADE FEDERAL FLUMINENSE</w:t>
      </w:r>
      <w:bookmarkEnd w:id="1"/>
    </w:p>
    <w:p>
      <w:pPr>
        <w:jc w:val="center"/>
        <w:rPr>
          <w:rFonts w:hint="eastAsia"/>
        </w:rPr>
      </w:pPr>
      <w:r>
        <w:rPr>
          <w:rFonts w:ascii="Calibri" w:hAnsi="Calibri" w:eastAsia="Calibri" w:cs="Calibri"/>
          <w:b/>
          <w:sz w:val="22"/>
          <w:szCs w:val="22"/>
        </w:rPr>
        <w:t>PRÓ-REITORIA DE ADMINISTRAÇÃO</w:t>
      </w:r>
    </w:p>
    <w:p>
      <w:pPr>
        <w:jc w:val="center"/>
        <w:rPr>
          <w:rFonts w:hint="eastAsia"/>
        </w:rPr>
      </w:pPr>
      <w:r>
        <w:rPr>
          <w:rFonts w:ascii="Calibri" w:hAnsi="Calibri" w:eastAsia="Calibri" w:cs="Calibri"/>
          <w:b/>
          <w:sz w:val="22"/>
          <w:szCs w:val="22"/>
        </w:rPr>
        <w:t xml:space="preserve">COORDENAÇÃO DE LICITAÇÃO </w:t>
      </w:r>
    </w:p>
    <w:p>
      <w:pPr>
        <w:jc w:val="center"/>
        <w:rPr>
          <w:rFonts w:ascii="Calibri" w:hAnsi="Calibri" w:eastAsia="Calibri" w:cs="Calibri"/>
          <w:b/>
          <w:sz w:val="22"/>
          <w:szCs w:val="22"/>
        </w:rPr>
      </w:pPr>
    </w:p>
    <w:p>
      <w:pPr>
        <w:tabs>
          <w:tab w:val="left" w:pos="708"/>
          <w:tab w:val="center" w:pos="4252"/>
          <w:tab w:val="right" w:pos="8504"/>
        </w:tabs>
        <w:spacing w:before="100" w:after="100"/>
        <w:jc w:val="both"/>
        <w:rPr>
          <w:rFonts w:ascii="Calibri" w:hAnsi="Calibri" w:eastAsia="Calibri" w:cs="Calibri"/>
          <w:b/>
          <w:i/>
          <w:color w:val="FF0000"/>
          <w:sz w:val="22"/>
          <w:szCs w:val="22"/>
        </w:rPr>
      </w:pPr>
    </w:p>
    <w:p>
      <w:pPr>
        <w:tabs>
          <w:tab w:val="left" w:pos="708"/>
          <w:tab w:val="center" w:pos="4252"/>
          <w:tab w:val="right" w:pos="8504"/>
        </w:tabs>
        <w:spacing w:before="100" w:after="100"/>
        <w:jc w:val="center"/>
        <w:rPr>
          <w:rFonts w:hint="eastAsia"/>
          <w:color w:val="FF0000"/>
          <w:sz w:val="20"/>
          <w:szCs w:val="20"/>
        </w:rPr>
      </w:pPr>
      <w:r>
        <w:rPr>
          <w:rFonts w:ascii="Verdana" w:hAnsi="Verdana" w:eastAsia="Verdana" w:cs="Verdana"/>
          <w:b/>
          <w:color w:val="FF0000"/>
          <w:sz w:val="20"/>
          <w:szCs w:val="20"/>
        </w:rPr>
        <w:t>MINUTA DE EDITAL DE LICITAÇÃO</w:t>
      </w:r>
    </w:p>
    <w:p>
      <w:pPr>
        <w:spacing w:before="100" w:after="100"/>
        <w:jc w:val="center"/>
        <w:rPr>
          <w:rFonts w:hint="eastAsia"/>
          <w:sz w:val="20"/>
          <w:szCs w:val="20"/>
        </w:rPr>
      </w:pPr>
      <w:r>
        <w:rPr>
          <w:rFonts w:ascii="Verdana" w:hAnsi="Verdana" w:eastAsia="Verdana" w:cs="Verdana"/>
          <w:b/>
          <w:sz w:val="20"/>
          <w:szCs w:val="20"/>
        </w:rPr>
        <w:t>PREGÃO ELETRÔNICO Nº 54/2023/AD</w:t>
      </w:r>
    </w:p>
    <w:p>
      <w:pPr>
        <w:spacing w:before="100" w:after="100"/>
        <w:jc w:val="center"/>
        <w:rPr>
          <w:rFonts w:ascii="Verdana" w:hAnsi="Verdana" w:eastAsia="Verdana" w:cs="Verdana"/>
          <w:b/>
          <w:color w:val="000000"/>
          <w:sz w:val="20"/>
          <w:szCs w:val="20"/>
        </w:rPr>
      </w:pPr>
      <w:r>
        <w:rPr>
          <w:rFonts w:ascii="Verdana" w:hAnsi="Verdana" w:eastAsia="Verdana" w:cs="Verdana"/>
          <w:b/>
          <w:color w:val="000000"/>
          <w:sz w:val="20"/>
          <w:szCs w:val="20"/>
        </w:rPr>
        <w:t>PROCESSO Nº 23069.166083/2023-12</w:t>
      </w:r>
    </w:p>
    <w:p>
      <w:pPr>
        <w:spacing w:before="100" w:after="100"/>
        <w:jc w:val="center"/>
        <w:rPr>
          <w:rFonts w:ascii="Verdana" w:hAnsi="Verdana" w:eastAsia="Verdana" w:cs="Verdana"/>
          <w:b/>
          <w:color w:val="000000"/>
          <w:sz w:val="20"/>
          <w:szCs w:val="20"/>
        </w:rPr>
      </w:pPr>
    </w:p>
    <w:p>
      <w:pPr>
        <w:spacing w:before="100" w:after="100"/>
        <w:jc w:val="center"/>
        <w:rPr>
          <w:rFonts w:ascii="Arial" w:hAnsi="Arial" w:cs="Arial"/>
          <w:bCs/>
          <w:color w:val="000000"/>
          <w:sz w:val="20"/>
          <w:szCs w:val="20"/>
        </w:rPr>
      </w:pPr>
    </w:p>
    <w:p>
      <w:pPr>
        <w:snapToGrid w:val="0"/>
        <w:spacing w:before="288" w:after="288" w:line="312" w:lineRule="auto"/>
        <w:ind w:firstLine="567"/>
        <w:jc w:val="both"/>
        <w:rPr>
          <w:rFonts w:ascii="Arial" w:hAnsi="Arial" w:eastAsia="Times New Roman" w:cs="Arial"/>
          <w:sz w:val="20"/>
          <w:szCs w:val="20"/>
        </w:rPr>
      </w:pPr>
      <w:r>
        <w:rPr>
          <w:rFonts w:ascii="Arial" w:hAnsi="Arial" w:cs="Arial"/>
          <w:color w:val="000000"/>
          <w:sz w:val="20"/>
          <w:szCs w:val="20"/>
        </w:rPr>
        <w:t>Torna-se público que a Universidade Federal Fluminense, por meio da Pró-Reitoria de Administração, inscrita no CNPJ/MF sob nº 28.523.215/0039-89, situada na Rua Miguel de Frias, 9, 1º andar, Icaraí, Niterói/RJ, CEP 24.220-008, realizará licitação, na modalidade PREGÃO, na forma ELETRÔNICA,</w:t>
      </w:r>
      <w:r>
        <w:rPr>
          <w:rFonts w:ascii="Arial" w:hAnsi="Arial" w:eastAsia="Times New Roman" w:cs="Arial"/>
          <w:color w:val="000000"/>
          <w:sz w:val="20"/>
          <w:szCs w:val="20"/>
        </w:rPr>
        <w:t xml:space="preserve"> </w:t>
      </w:r>
      <w:r>
        <w:rPr>
          <w:rFonts w:ascii="Arial" w:hAnsi="Arial" w:cs="Arial"/>
          <w:color w:val="000000"/>
          <w:sz w:val="20"/>
          <w:szCs w:val="20"/>
        </w:rPr>
        <w:t xml:space="preserve">nos termos da </w:t>
      </w:r>
      <w:r>
        <w:fldChar w:fldCharType="begin"/>
      </w:r>
      <w:r>
        <w:instrText xml:space="preserve"> HYPERLINK "http://www.planalto.gov.br/ccivil_03/_ato2019-2022/2021/lei/L14133.htm" \h </w:instrText>
      </w:r>
      <w:r>
        <w:fldChar w:fldCharType="separate"/>
      </w:r>
      <w:r>
        <w:rPr>
          <w:rStyle w:val="31"/>
          <w:rFonts w:ascii="Arial" w:hAnsi="Arial" w:cs="Arial"/>
          <w:sz w:val="20"/>
          <w:szCs w:val="20"/>
        </w:rPr>
        <w:t>Lei nº 14.133, de 2021</w:t>
      </w:r>
      <w:r>
        <w:rPr>
          <w:rStyle w:val="31"/>
          <w:rFonts w:ascii="Arial" w:hAnsi="Arial" w:cs="Arial"/>
          <w:sz w:val="20"/>
          <w:szCs w:val="20"/>
        </w:rPr>
        <w:fldChar w:fldCharType="end"/>
      </w:r>
      <w:r>
        <w:rPr>
          <w:rFonts w:ascii="Arial" w:hAnsi="Arial" w:cs="Arial"/>
          <w:sz w:val="20"/>
          <w:szCs w:val="20"/>
        </w:rPr>
        <w:t>, e demais legislação aplicável e, ainda, de acordo com as condições estabelecidas neste Edital</w:t>
      </w:r>
      <w:r>
        <w:rPr>
          <w:rFonts w:ascii="Arial" w:hAnsi="Arial" w:eastAsia="Times New Roman" w:cs="Arial"/>
          <w:sz w:val="20"/>
          <w:szCs w:val="20"/>
        </w:rPr>
        <w:t>.</w:t>
      </w:r>
    </w:p>
    <w:p>
      <w:pPr>
        <w:snapToGrid w:val="0"/>
        <w:spacing w:before="288" w:after="288" w:line="312" w:lineRule="auto"/>
        <w:ind w:firstLine="567"/>
        <w:jc w:val="both"/>
        <w:rPr>
          <w:rFonts w:hint="eastAsia"/>
        </w:rPr>
      </w:pPr>
    </w:p>
    <w:p>
      <w:pPr>
        <w:pStyle w:val="43"/>
        <w:numPr>
          <w:ilvl w:val="0"/>
          <w:numId w:val="1"/>
        </w:numPr>
        <w:spacing w:before="288" w:after="288" w:line="312" w:lineRule="auto"/>
        <w:ind w:left="0" w:firstLine="0"/>
        <w:rPr>
          <w:highlight w:val="lightGray"/>
          <w:lang w:eastAsia="en-US"/>
        </w:rPr>
      </w:pPr>
      <w:bookmarkStart w:id="2" w:name="_Toc130201039"/>
      <w:r>
        <w:rPr>
          <w:highlight w:val="lightGray"/>
          <w:lang w:eastAsia="en-US"/>
        </w:rPr>
        <w:t>DO OBJETO</w:t>
      </w:r>
      <w:bookmarkEnd w:id="2"/>
    </w:p>
    <w:p>
      <w:pPr>
        <w:pStyle w:val="66"/>
        <w:numPr>
          <w:ilvl w:val="1"/>
          <w:numId w:val="1"/>
        </w:numPr>
        <w:spacing w:before="288" w:after="288" w:line="312" w:lineRule="auto"/>
        <w:ind w:left="0" w:firstLine="709"/>
      </w:pPr>
      <w:r>
        <w:t>O objeto da presente licitação é a Contratação de empresa para a prestação de serviços de reforma de móveis e estofados com fornecimento de materiais, à medida em que houver necessidade, na Universidade Federal Fluminense - UFF.</w:t>
      </w:r>
    </w:p>
    <w:p>
      <w:pPr>
        <w:pStyle w:val="66"/>
        <w:numPr>
          <w:ilvl w:val="1"/>
          <w:numId w:val="1"/>
        </w:numPr>
        <w:spacing w:before="288" w:after="288" w:line="312" w:lineRule="auto"/>
        <w:ind w:left="0" w:firstLine="709"/>
        <w:rPr>
          <w:color w:val="auto"/>
        </w:rPr>
      </w:pPr>
      <w:r>
        <w:rPr>
          <w:color w:val="auto"/>
        </w:rPr>
        <w:t xml:space="preserve"> A licitação será realizada em único item.</w:t>
      </w:r>
    </w:p>
    <w:p>
      <w:pPr>
        <w:pStyle w:val="66"/>
        <w:numPr>
          <w:ilvl w:val="1"/>
          <w:numId w:val="1"/>
        </w:numPr>
        <w:spacing w:before="288" w:after="288" w:line="312" w:lineRule="auto"/>
        <w:ind w:left="0" w:firstLine="709"/>
      </w:pPr>
      <w:r>
        <w:t xml:space="preserve">O critério de julgamento adotado será o </w:t>
      </w:r>
      <w:r>
        <w:rPr>
          <w:b/>
          <w:bCs/>
        </w:rPr>
        <w:t>menor preço por item</w:t>
      </w:r>
      <w:r>
        <w:t>, observadas as exigências contidas neste Edital e seus Anexos quantos às especificações do objeto.</w:t>
      </w:r>
    </w:p>
    <w:p>
      <w:pPr>
        <w:spacing w:before="288" w:after="288" w:line="312" w:lineRule="auto"/>
        <w:ind w:firstLine="567"/>
        <w:jc w:val="center"/>
        <w:rPr>
          <w:rFonts w:ascii="Arial" w:hAnsi="Arial" w:cs="Arial"/>
          <w:b/>
          <w:bCs/>
          <w:iCs/>
          <w:color w:val="FF0000"/>
          <w:sz w:val="20"/>
          <w:szCs w:val="20"/>
          <w:u w:val="single"/>
        </w:rPr>
      </w:pPr>
    </w:p>
    <w:p>
      <w:pPr>
        <w:pStyle w:val="43"/>
        <w:numPr>
          <w:ilvl w:val="0"/>
          <w:numId w:val="1"/>
        </w:numPr>
        <w:spacing w:before="288" w:after="288" w:line="312" w:lineRule="auto"/>
        <w:ind w:left="0" w:firstLine="0"/>
        <w:rPr>
          <w:highlight w:val="lightGray"/>
          <w:lang w:eastAsia="en-US"/>
        </w:rPr>
      </w:pPr>
      <w:bookmarkStart w:id="3" w:name="_Toc130201040"/>
      <w:r>
        <w:rPr>
          <w:highlight w:val="lightGray"/>
          <w:lang w:eastAsia="en-US"/>
        </w:rPr>
        <w:t>DA PARTICIPAÇÃO NA LICITAÇÃO</w:t>
      </w:r>
      <w:bookmarkEnd w:id="3"/>
    </w:p>
    <w:p>
      <w:pPr>
        <w:pStyle w:val="66"/>
        <w:numPr>
          <w:ilvl w:val="1"/>
          <w:numId w:val="1"/>
        </w:numPr>
        <w:spacing w:line="360" w:lineRule="auto"/>
        <w:ind w:left="0" w:firstLine="567"/>
        <w:rPr>
          <w:color w:val="auto"/>
        </w:rPr>
      </w:pPr>
      <w:r>
        <w:rPr>
          <w:color w:val="auto"/>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\h </w:instrText>
      </w:r>
      <w:r>
        <w:fldChar w:fldCharType="separate"/>
      </w:r>
      <w:r>
        <w:rPr>
          <w:rStyle w:val="31"/>
        </w:rPr>
        <w:t>www.gov.br/compras</w:t>
      </w:r>
      <w:r>
        <w:rPr>
          <w:rStyle w:val="31"/>
        </w:rPr>
        <w:fldChar w:fldCharType="end"/>
      </w:r>
      <w:r>
        <w:rPr>
          <w:color w:val="auto"/>
        </w:rPr>
        <w:t>), por meio de Certificado Digital conferido pela Infraestrutura de Chaves Públicas Brasileira – ICP – Brasil.</w:t>
      </w:r>
    </w:p>
    <w:p>
      <w:pPr>
        <w:pStyle w:val="57"/>
        <w:numPr>
          <w:ilvl w:val="2"/>
          <w:numId w:val="1"/>
        </w:numPr>
        <w:spacing w:line="360" w:lineRule="auto"/>
        <w:ind w:left="567" w:firstLine="567"/>
      </w:pPr>
      <w:r>
        <w:t>Os interessados deverão atender às condições exigidas no cadastramento no Sicaf até o terceiro dia útil anterior à data prevista para recebimento das propostas.</w:t>
      </w:r>
    </w:p>
    <w:p>
      <w:pPr>
        <w:pStyle w:val="66"/>
        <w:numPr>
          <w:ilvl w:val="1"/>
          <w:numId w:val="1"/>
        </w:numPr>
        <w:spacing w:before="288" w:after="288" w:line="312" w:lineRule="auto"/>
        <w:ind w:left="0" w:firstLine="567"/>
        <w:rPr>
          <w:color w:val="auto"/>
        </w:rPr>
      </w:pPr>
      <w:r>
        <w:rPr>
          <w:color w:val="auto"/>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66"/>
        <w:numPr>
          <w:ilvl w:val="1"/>
          <w:numId w:val="1"/>
        </w:numPr>
        <w:spacing w:before="288" w:after="288" w:line="312" w:lineRule="auto"/>
        <w:ind w:left="0" w:firstLine="567"/>
        <w:rPr>
          <w:color w:val="auto"/>
        </w:rPr>
      </w:pPr>
      <w:r>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66"/>
        <w:numPr>
          <w:ilvl w:val="1"/>
          <w:numId w:val="1"/>
        </w:numPr>
        <w:spacing w:before="288" w:after="288" w:line="312" w:lineRule="auto"/>
        <w:ind w:left="0" w:firstLine="567"/>
        <w:rPr>
          <w:color w:val="auto"/>
        </w:rPr>
      </w:pPr>
      <w:r>
        <w:rPr>
          <w:color w:val="auto"/>
        </w:rPr>
        <w:t>A não observância do disposto no item anterior poderá ensejar desclassificação no momento da habilitação.</w:t>
      </w:r>
    </w:p>
    <w:p>
      <w:pPr>
        <w:pStyle w:val="66"/>
        <w:numPr>
          <w:ilvl w:val="1"/>
          <w:numId w:val="1"/>
        </w:numPr>
        <w:spacing w:before="288" w:after="288" w:line="312" w:lineRule="auto"/>
        <w:ind w:left="0" w:firstLine="567"/>
        <w:rPr>
          <w:rFonts w:eastAsia="Times New Roman"/>
          <w:color w:val="auto"/>
        </w:rPr>
      </w:pPr>
      <w:r>
        <w:t>Será concedido tratamento favorecido para as mic</w:t>
      </w:r>
      <w:r>
        <w:rPr>
          <w:color w:val="auto"/>
        </w:rPr>
        <w:t xml:space="preserve">roempresas e empresas de pequeno porte, </w:t>
      </w:r>
      <w:r>
        <w:rPr>
          <w:color w:val="000000" w:themeColor="text1"/>
          <w14:textFill>
            <w14:solidFill>
              <w14:schemeClr w14:val="tx1"/>
            </w14:solidFill>
          </w14:textFill>
        </w:rPr>
        <w:t xml:space="preserve">para as sociedades cooperativas </w:t>
      </w:r>
      <w:r>
        <w:rPr>
          <w:rFonts w:eastAsia="Times New Roman"/>
          <w:color w:val="000000" w:themeColor="text1"/>
          <w14:textFill>
            <w14:solidFill>
              <w14:schemeClr w14:val="tx1"/>
            </w14:solidFill>
          </w14:textFill>
        </w:rPr>
        <w:t xml:space="preserve">mencionadas no </w:t>
      </w:r>
      <w:r>
        <w:fldChar w:fldCharType="begin"/>
      </w:r>
      <w:r>
        <w:instrText xml:space="preserve"> HYPERLINK "http://www.planalto.gov.br/ccivil_03/_ato2019-2022/2021/lei/L14133.htm" \l "art16" </w:instrText>
      </w:r>
      <w:r>
        <w:fldChar w:fldCharType="separate"/>
      </w:r>
      <w:r>
        <w:rPr>
          <w:rStyle w:val="31"/>
          <w:rFonts w:eastAsia="Times New Roman"/>
        </w:rPr>
        <w:t xml:space="preserve">artigo </w:t>
      </w:r>
      <w:r>
        <w:rPr>
          <w:rStyle w:val="31"/>
          <w:rFonts w:eastAsia="Times New Roman"/>
        </w:rPr>
        <w:fldChar w:fldCharType="end"/>
      </w:r>
      <w:r>
        <w:rPr>
          <w:rStyle w:val="31"/>
        </w:rPr>
        <w:t>16 da Lei nº 14.133, de 2021</w:t>
      </w:r>
      <w:r>
        <w:rPr>
          <w:color w:val="auto"/>
        </w:rPr>
        <w:t>, para o agricultor familiar, o produtor rural pessoa física e para o microempreendedor individual - MEI, nos limites previstos</w:t>
      </w:r>
      <w:r>
        <w:t xml:space="preserve"> da </w:t>
      </w:r>
      <w:r>
        <w:fldChar w:fldCharType="begin"/>
      </w:r>
      <w:r>
        <w:instrText xml:space="preserve"> HYPERLINK "https://www.planalto.gov.br/ccivil_03/leis/lcp/lcp123.htm" \h </w:instrText>
      </w:r>
      <w:r>
        <w:fldChar w:fldCharType="separate"/>
      </w:r>
      <w:r>
        <w:rPr>
          <w:rStyle w:val="31"/>
          <w:color w:val="000000"/>
          <w:u w:val="none"/>
        </w:rPr>
        <w:t>Lei Complementar nº 123, de 2006</w:t>
      </w:r>
      <w:r>
        <w:rPr>
          <w:rStyle w:val="31"/>
          <w:color w:val="000000"/>
          <w:u w:val="none"/>
        </w:rPr>
        <w:fldChar w:fldCharType="end"/>
      </w:r>
      <w:r>
        <w:t>.</w:t>
      </w:r>
    </w:p>
    <w:p>
      <w:pPr>
        <w:pStyle w:val="66"/>
        <w:numPr>
          <w:ilvl w:val="1"/>
          <w:numId w:val="1"/>
        </w:numPr>
        <w:spacing w:before="288" w:after="288" w:line="312" w:lineRule="auto"/>
        <w:ind w:left="0" w:firstLine="567"/>
        <w:rPr>
          <w:rFonts w:eastAsia="Times New Roman"/>
          <w:color w:val="auto"/>
        </w:rPr>
      </w:pPr>
      <w:bookmarkStart w:id="4" w:name="_Ref117000692"/>
      <w:r>
        <w:rPr>
          <w:rFonts w:eastAsia="Times New Roman"/>
          <w:color w:val="auto"/>
        </w:rPr>
        <w:t>Não poderão disputar esta licitação:</w:t>
      </w:r>
      <w:bookmarkEnd w:id="4"/>
    </w:p>
    <w:p>
      <w:pPr>
        <w:pStyle w:val="57"/>
        <w:numPr>
          <w:ilvl w:val="2"/>
          <w:numId w:val="1"/>
        </w:numPr>
        <w:spacing w:line="360" w:lineRule="auto"/>
        <w:ind w:left="567" w:firstLine="567"/>
      </w:pPr>
      <w:r>
        <w:t>aquele que não atenda às condições deste Edital e seu(s) anexo(s);</w:t>
      </w:r>
    </w:p>
    <w:p>
      <w:pPr>
        <w:pStyle w:val="57"/>
        <w:numPr>
          <w:ilvl w:val="2"/>
          <w:numId w:val="1"/>
        </w:numPr>
        <w:spacing w:line="360" w:lineRule="auto"/>
        <w:ind w:left="567" w:firstLine="567"/>
        <w:rPr>
          <w:color w:val="auto"/>
        </w:rPr>
      </w:pPr>
      <w:bookmarkStart w:id="5" w:name="_Ref113883338"/>
      <w:bookmarkStart w:id="6" w:name="_Ref114659912"/>
      <w:r>
        <w:rPr>
          <w:color w:val="auto"/>
        </w:rPr>
        <w:t>autor do anteprojeto, do projeto básico ou do projeto executivo, pessoa física ou jurídica, quando a licitação versar sobre serviços ou fornecimento de bens a ele relacionados;</w:t>
      </w:r>
      <w:bookmarkEnd w:id="5"/>
      <w:bookmarkEnd w:id="6"/>
    </w:p>
    <w:p>
      <w:pPr>
        <w:pStyle w:val="57"/>
        <w:numPr>
          <w:ilvl w:val="2"/>
          <w:numId w:val="1"/>
        </w:numPr>
        <w:spacing w:line="360" w:lineRule="auto"/>
        <w:ind w:left="567" w:firstLine="567"/>
        <w:rPr>
          <w:color w:val="auto"/>
        </w:rPr>
      </w:pPr>
      <w:bookmarkStart w:id="7" w:name="_Ref114659913"/>
      <w:bookmarkStart w:id="8" w:name="_Ref113883339"/>
      <w:r>
        <w:rPr>
          <w:color w:val="auto"/>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color w:val="auto"/>
        </w:rPr>
        <w:t xml:space="preserve"> </w:t>
      </w:r>
      <w:bookmarkEnd w:id="8"/>
    </w:p>
    <w:p>
      <w:pPr>
        <w:pStyle w:val="57"/>
        <w:numPr>
          <w:ilvl w:val="2"/>
          <w:numId w:val="1"/>
        </w:numPr>
        <w:spacing w:line="360" w:lineRule="auto"/>
        <w:ind w:left="567" w:firstLine="567"/>
        <w:rPr>
          <w:color w:val="auto"/>
        </w:rPr>
      </w:pPr>
      <w:bookmarkStart w:id="9" w:name="_Ref113883003"/>
      <w:r>
        <w:rPr>
          <w:color w:val="auto"/>
        </w:rPr>
        <w:t>pessoa física ou jurídica que se encontre, ao tempo da licitação, impossibilitada de participar da licitação em decorrência de sanção que lhe foi imposta;</w:t>
      </w:r>
      <w:bookmarkEnd w:id="9"/>
    </w:p>
    <w:p>
      <w:pPr>
        <w:pStyle w:val="57"/>
        <w:numPr>
          <w:ilvl w:val="2"/>
          <w:numId w:val="1"/>
        </w:numPr>
        <w:spacing w:line="360" w:lineRule="auto"/>
        <w:ind w:left="567" w:firstLine="567"/>
        <w:rPr>
          <w:color w:val="auto"/>
        </w:rPr>
      </w:pPr>
      <w:r>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57"/>
        <w:numPr>
          <w:ilvl w:val="2"/>
          <w:numId w:val="1"/>
        </w:numPr>
        <w:spacing w:line="360" w:lineRule="auto"/>
        <w:ind w:left="567" w:firstLine="567"/>
        <w:rPr>
          <w:color w:val="auto"/>
        </w:rPr>
      </w:pPr>
      <w:bookmarkStart w:id="10" w:name="_Ref113883579"/>
      <w:r>
        <w:rPr>
          <w:color w:val="auto"/>
        </w:rPr>
        <w:t>empresas controladoras, controladas ou coligadas, nos termos da Lei nº 6.404, de 15 de dezembro de 1976, concorrendo entre si;</w:t>
      </w:r>
      <w:bookmarkEnd w:id="10"/>
    </w:p>
    <w:p>
      <w:pPr>
        <w:pStyle w:val="57"/>
        <w:numPr>
          <w:ilvl w:val="2"/>
          <w:numId w:val="1"/>
        </w:numPr>
        <w:spacing w:line="360" w:lineRule="auto"/>
        <w:ind w:left="567" w:firstLine="567"/>
        <w:rPr>
          <w:color w:val="auto"/>
        </w:rPr>
      </w:pPr>
      <w:r>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57"/>
        <w:numPr>
          <w:ilvl w:val="2"/>
          <w:numId w:val="1"/>
        </w:numPr>
        <w:spacing w:line="360" w:lineRule="auto"/>
        <w:ind w:left="567" w:firstLine="567"/>
        <w:rPr>
          <w:color w:val="000000" w:themeColor="text1"/>
          <w14:textFill>
            <w14:solidFill>
              <w14:schemeClr w14:val="tx1"/>
            </w14:solidFill>
          </w14:textFill>
        </w:rPr>
      </w:pPr>
      <w:bookmarkStart w:id="11" w:name="_Ref113962336"/>
      <w:r>
        <w:rPr>
          <w:color w:val="000000" w:themeColor="text1"/>
          <w14:textFill>
            <w14:solidFill>
              <w14:schemeClr w14:val="tx1"/>
            </w14:solidFill>
          </w14:textFill>
        </w:rPr>
        <w:t>agente público do órgão ou entidade licitante;</w:t>
      </w:r>
      <w:bookmarkEnd w:id="11"/>
    </w:p>
    <w:p>
      <w:pPr>
        <w:pStyle w:val="57"/>
        <w:numPr>
          <w:ilvl w:val="2"/>
          <w:numId w:val="1"/>
        </w:numPr>
        <w:spacing w:line="360" w:lineRule="auto"/>
        <w:ind w:left="567" w:firstLine="567"/>
        <w:rPr>
          <w:color w:val="000000" w:themeColor="text1"/>
          <w14:textFill>
            <w14:solidFill>
              <w14:schemeClr w14:val="tx1"/>
            </w14:solidFill>
          </w14:textFill>
        </w:rPr>
      </w:pPr>
      <w:r>
        <w:rPr>
          <w:color w:val="000000" w:themeColor="text1"/>
          <w14:textFill>
            <w14:solidFill>
              <w14:schemeClr w14:val="tx1"/>
            </w14:solidFill>
          </w14:textFill>
        </w:rPr>
        <w:t>pessoas jurídicas reunidas em consórcio;</w:t>
      </w:r>
    </w:p>
    <w:p>
      <w:pPr>
        <w:pStyle w:val="57"/>
        <w:numPr>
          <w:ilvl w:val="2"/>
          <w:numId w:val="1"/>
        </w:numPr>
        <w:spacing w:line="360" w:lineRule="auto"/>
        <w:ind w:left="567" w:firstLine="567"/>
      </w:pPr>
      <w:r>
        <w:t>Organizações da Sociedade Civil de Interesse Público - OSCIP, atuando nessa condição;</w:t>
      </w:r>
    </w:p>
    <w:p>
      <w:pPr>
        <w:pStyle w:val="57"/>
        <w:numPr>
          <w:ilvl w:val="2"/>
          <w:numId w:val="1"/>
        </w:numPr>
        <w:spacing w:line="360" w:lineRule="auto"/>
        <w:ind w:left="567" w:firstLine="567"/>
      </w:pPr>
      <w: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31"/>
          <w:color w:val="000000"/>
          <w:u w:val="none"/>
        </w:rPr>
        <w:t>§ 1º do art. 9º da Lei n.º 14.133, de 2021</w:t>
      </w:r>
      <w:r>
        <w:rPr>
          <w:rStyle w:val="31"/>
          <w:color w:val="000000"/>
          <w:u w:val="none"/>
        </w:rPr>
        <w:fldChar w:fldCharType="end"/>
      </w:r>
      <w:r>
        <w:t>.</w:t>
      </w:r>
    </w:p>
    <w:p>
      <w:pPr>
        <w:pStyle w:val="66"/>
        <w:numPr>
          <w:ilvl w:val="1"/>
          <w:numId w:val="1"/>
        </w:numPr>
        <w:spacing w:before="288" w:after="288" w:line="312" w:lineRule="auto"/>
        <w:ind w:left="0" w:firstLine="567"/>
      </w:pPr>
      <w:r>
        <w:t xml:space="preserve">O impedimento de que trata o item </w:t>
      </w:r>
      <w:r>
        <w:fldChar w:fldCharType="begin"/>
      </w:r>
      <w:r>
        <w:instrText xml:space="preserve">REF _Ref113883003 \r \h</w:instrText>
      </w:r>
      <w:r>
        <w:fldChar w:fldCharType="separate"/>
      </w:r>
      <w:r>
        <w:t>2.6.4</w:t>
      </w:r>
      <w:r>
        <w:fldChar w:fldCharType="end"/>
      </w:r>
      <w: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66"/>
        <w:numPr>
          <w:ilvl w:val="1"/>
          <w:numId w:val="1"/>
        </w:numPr>
        <w:spacing w:before="288" w:after="288" w:line="312" w:lineRule="auto"/>
        <w:ind w:left="0" w:firstLine="567"/>
      </w:pPr>
      <w:bookmarkStart w:id="12" w:name="art14§2"/>
      <w:bookmarkEnd w:id="12"/>
      <w:r>
        <w:t xml:space="preserve">A critério da Administração e exclusivamente a seu serviço, o autor dos projetos e a empresa a que se referem os itens </w:t>
      </w:r>
      <w:r>
        <w:fldChar w:fldCharType="begin"/>
      </w:r>
      <w:r>
        <w:instrText xml:space="preserve">REF _Ref114659912 \r \h</w:instrText>
      </w:r>
      <w:r>
        <w:fldChar w:fldCharType="separate"/>
      </w:r>
      <w:r>
        <w:t>2.6.2</w:t>
      </w:r>
      <w:r>
        <w:fldChar w:fldCharType="end"/>
      </w:r>
      <w:r>
        <w:t xml:space="preserve"> e </w:t>
      </w:r>
      <w:r>
        <w:fldChar w:fldCharType="begin"/>
      </w:r>
      <w:r>
        <w:instrText xml:space="preserve">REF _Ref114659913 \r \h</w:instrText>
      </w:r>
      <w:r>
        <w:fldChar w:fldCharType="separate"/>
      </w:r>
      <w:r>
        <w:t>2.6.3</w:t>
      </w:r>
      <w:r>
        <w:fldChar w:fldCharType="end"/>
      </w:r>
      <w:r>
        <w:t xml:space="preserve"> poderão participar no apoio das atividades de planejamento da contratação, de execução da licitação ou de gestão do contrato, desde que sob supervisão exclusiva de agentes públicos do órgão ou entidade.</w:t>
      </w:r>
    </w:p>
    <w:p>
      <w:pPr>
        <w:pStyle w:val="66"/>
        <w:numPr>
          <w:ilvl w:val="1"/>
          <w:numId w:val="1"/>
        </w:numPr>
        <w:spacing w:before="288" w:after="288" w:line="312" w:lineRule="auto"/>
        <w:ind w:left="0" w:firstLine="567"/>
      </w:pPr>
      <w:bookmarkStart w:id="13" w:name="art14§3"/>
      <w:bookmarkEnd w:id="13"/>
      <w:r>
        <w:t>Equiparam-se aos autores do projeto as empresas integrantes do mesmo grupo econômico.</w:t>
      </w:r>
    </w:p>
    <w:p>
      <w:pPr>
        <w:pStyle w:val="66"/>
        <w:numPr>
          <w:ilvl w:val="1"/>
          <w:numId w:val="1"/>
        </w:numPr>
        <w:spacing w:before="288" w:after="288" w:line="312" w:lineRule="auto"/>
        <w:ind w:left="0" w:firstLine="567"/>
      </w:pPr>
      <w:bookmarkStart w:id="14" w:name="art14§4"/>
      <w:bookmarkEnd w:id="14"/>
      <w:r>
        <w:t xml:space="preserve">O disposto nos itens </w:t>
      </w:r>
      <w:r>
        <w:fldChar w:fldCharType="begin"/>
      </w:r>
      <w:r>
        <w:instrText xml:space="preserve">REF _Ref114659912 \r \h</w:instrText>
      </w:r>
      <w:r>
        <w:fldChar w:fldCharType="separate"/>
      </w:r>
      <w:r>
        <w:t>2.6.2</w:t>
      </w:r>
      <w:r>
        <w:fldChar w:fldCharType="end"/>
      </w:r>
      <w:r>
        <w:t xml:space="preserve"> e </w:t>
      </w:r>
      <w:r>
        <w:fldChar w:fldCharType="begin"/>
      </w:r>
      <w:r>
        <w:instrText xml:space="preserve">REF _Ref114659913 \r \h</w:instrText>
      </w:r>
      <w:r>
        <w:fldChar w:fldCharType="separate"/>
      </w:r>
      <w:r>
        <w:t>2.6.3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pPr>
        <w:pStyle w:val="66"/>
        <w:numPr>
          <w:ilvl w:val="1"/>
          <w:numId w:val="1"/>
        </w:numPr>
        <w:spacing w:before="288" w:after="288" w:line="312" w:lineRule="auto"/>
        <w:ind w:left="0" w:firstLine="567"/>
      </w:pPr>
      <w:bookmarkStart w:id="15" w:name="art14§5"/>
      <w:bookmarkEnd w:id="15"/>
      <w: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31"/>
        </w:rPr>
        <w:t>Lei nº 14.133/2021</w:t>
      </w:r>
      <w:r>
        <w:rPr>
          <w:rStyle w:val="31"/>
        </w:rPr>
        <w:fldChar w:fldCharType="end"/>
      </w:r>
      <w:r>
        <w:t>.</w:t>
      </w:r>
    </w:p>
    <w:p>
      <w:pPr>
        <w:pStyle w:val="66"/>
        <w:numPr>
          <w:ilvl w:val="1"/>
          <w:numId w:val="1"/>
        </w:numPr>
        <w:spacing w:before="288" w:after="288" w:line="312" w:lineRule="auto"/>
        <w:ind w:left="0" w:firstLine="567"/>
      </w:pPr>
      <w:r>
        <w:t xml:space="preserve">A vedação de que trata o item </w:t>
      </w:r>
      <w:r>
        <w:fldChar w:fldCharType="begin"/>
      </w:r>
      <w:r>
        <w:instrText xml:space="preserve">REF _Ref113962336 \r \h</w:instrText>
      </w:r>
      <w:r>
        <w:fldChar w:fldCharType="separate"/>
      </w:r>
      <w:r>
        <w:t>2.6.8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pPr>
        <w:pStyle w:val="66"/>
        <w:spacing w:before="288" w:after="288" w:line="312" w:lineRule="auto"/>
        <w:ind w:left="567"/>
      </w:pPr>
    </w:p>
    <w:p>
      <w:pPr>
        <w:pStyle w:val="43"/>
        <w:numPr>
          <w:ilvl w:val="0"/>
          <w:numId w:val="1"/>
        </w:numPr>
        <w:spacing w:before="288" w:after="288" w:line="312" w:lineRule="auto"/>
        <w:ind w:left="0" w:firstLine="0"/>
        <w:rPr>
          <w:highlight w:val="lightGray"/>
          <w:lang w:eastAsia="en-US"/>
        </w:rPr>
      </w:pPr>
      <w:bookmarkStart w:id="16" w:name="_Toc130201041"/>
      <w:r>
        <w:rPr>
          <w:highlight w:val="lightGray"/>
          <w:lang w:eastAsia="en-US"/>
        </w:rPr>
        <w:t>DA APRESENTAÇÃO DA PROPOSTA E DOS DOCUMENTOS DE HABILITAÇÃO</w:t>
      </w:r>
      <w:bookmarkEnd w:id="16"/>
    </w:p>
    <w:p>
      <w:pPr>
        <w:pStyle w:val="66"/>
        <w:numPr>
          <w:ilvl w:val="1"/>
          <w:numId w:val="1"/>
        </w:numPr>
        <w:spacing w:before="288" w:after="288" w:line="312" w:lineRule="auto"/>
        <w:ind w:left="0" w:firstLine="567"/>
        <w:rPr>
          <w:color w:val="auto"/>
        </w:rPr>
      </w:pPr>
      <w:bookmarkStart w:id="17" w:name="_Ref113886867"/>
      <w:r>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pPr>
        <w:pStyle w:val="66"/>
        <w:numPr>
          <w:ilvl w:val="1"/>
          <w:numId w:val="1"/>
        </w:numPr>
        <w:spacing w:line="360" w:lineRule="auto"/>
        <w:ind w:left="0" w:firstLine="567"/>
        <w:rPr>
          <w:color w:val="auto"/>
        </w:rPr>
      </w:pPr>
      <w:bookmarkStart w:id="18" w:name="_Ref113968921"/>
      <w:r>
        <w:rPr>
          <w:rFonts w:eastAsia="Times New Roman"/>
          <w:color w:val="auto"/>
        </w:rPr>
        <w:t>No cadastramento da proposta inicial, o licitante declarará, em campo próprio do sistema, que:</w:t>
      </w:r>
      <w:bookmarkEnd w:id="18"/>
    </w:p>
    <w:p>
      <w:pPr>
        <w:pStyle w:val="57"/>
        <w:numPr>
          <w:ilvl w:val="2"/>
          <w:numId w:val="1"/>
        </w:numPr>
        <w:spacing w:line="360" w:lineRule="auto"/>
        <w:ind w:left="567" w:firstLine="567"/>
        <w:rPr>
          <w:color w:val="auto"/>
        </w:rPr>
      </w:pPr>
      <w:r>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57"/>
        <w:numPr>
          <w:ilvl w:val="2"/>
          <w:numId w:val="1"/>
        </w:numPr>
        <w:spacing w:line="360" w:lineRule="auto"/>
        <w:ind w:left="567" w:firstLine="567"/>
        <w:rPr>
          <w:color w:val="auto"/>
        </w:rPr>
      </w:pPr>
      <w:r>
        <w:rPr>
          <w:color w:val="auto"/>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31"/>
        </w:rPr>
        <w:t>artigo 7°, XXXIII, da Constituição</w:t>
      </w:r>
      <w:r>
        <w:rPr>
          <w:rStyle w:val="31"/>
        </w:rPr>
        <w:fldChar w:fldCharType="end"/>
      </w:r>
      <w:r>
        <w:rPr>
          <w:color w:val="auto"/>
        </w:rPr>
        <w:t>;</w:t>
      </w:r>
    </w:p>
    <w:p>
      <w:pPr>
        <w:pStyle w:val="57"/>
        <w:numPr>
          <w:ilvl w:val="2"/>
          <w:numId w:val="1"/>
        </w:numPr>
        <w:spacing w:line="360" w:lineRule="auto"/>
        <w:ind w:left="567" w:firstLine="567"/>
      </w:pPr>
      <w: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31"/>
        </w:rPr>
        <w:t>incisos III e IV do art. 1º e no inciso III do art. 5º da Constituição Federal</w:t>
      </w:r>
      <w:r>
        <w:rPr>
          <w:rStyle w:val="31"/>
        </w:rPr>
        <w:fldChar w:fldCharType="end"/>
      </w:r>
      <w:r>
        <w:t>;</w:t>
      </w:r>
    </w:p>
    <w:p>
      <w:pPr>
        <w:pStyle w:val="57"/>
        <w:numPr>
          <w:ilvl w:val="2"/>
          <w:numId w:val="1"/>
        </w:numPr>
        <w:spacing w:line="360" w:lineRule="auto"/>
        <w:ind w:left="567" w:firstLine="567"/>
        <w:rPr>
          <w:color w:val="auto"/>
        </w:rPr>
      </w:pPr>
      <w:r>
        <w:rPr>
          <w:color w:val="auto"/>
        </w:rPr>
        <w:t>cumpre as exigências de reserva de cargos para pessoa com deficiência e para reabilitado da Previdência Social, previstas em lei e em outras normas específicas.</w:t>
      </w:r>
    </w:p>
    <w:p>
      <w:pPr>
        <w:pStyle w:val="66"/>
        <w:numPr>
          <w:ilvl w:val="1"/>
          <w:numId w:val="1"/>
        </w:numPr>
        <w:spacing w:before="288" w:after="288" w:line="312" w:lineRule="auto"/>
        <w:ind w:left="0" w:firstLine="567"/>
      </w:pPr>
      <w: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w:instrText>
      </w:r>
      <w:r>
        <w:fldChar w:fldCharType="separate"/>
      </w:r>
      <w:r>
        <w:rPr>
          <w:rStyle w:val="31"/>
        </w:rPr>
        <w:t>artigo 16 da Lei nº 14.133, de 2021</w:t>
      </w:r>
      <w:r>
        <w:rPr>
          <w:rStyle w:val="31"/>
        </w:rPr>
        <w:fldChar w:fldCharType="end"/>
      </w:r>
      <w:r>
        <w:t>.</w:t>
      </w:r>
    </w:p>
    <w:p>
      <w:pPr>
        <w:pStyle w:val="66"/>
        <w:numPr>
          <w:ilvl w:val="1"/>
          <w:numId w:val="1"/>
        </w:numPr>
        <w:spacing w:before="288" w:after="288" w:line="312" w:lineRule="auto"/>
        <w:ind w:left="0" w:firstLine="567"/>
      </w:pPr>
      <w:bookmarkStart w:id="19" w:name="_Ref117000019"/>
      <w: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w:instrText>
      </w:r>
      <w:r>
        <w:fldChar w:fldCharType="separate"/>
      </w:r>
      <w:r>
        <w:rPr>
          <w:rStyle w:val="31"/>
        </w:rPr>
        <w:t>artigo 3° da Lei Complementar nº 123, de 2006</w:t>
      </w:r>
      <w:r>
        <w:rPr>
          <w:rStyle w:val="31"/>
        </w:rPr>
        <w:fldChar w:fldCharType="end"/>
      </w:r>
      <w: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31"/>
        </w:rPr>
        <w:t>arts. 42 a 49</w:t>
      </w:r>
      <w:r>
        <w:rPr>
          <w:rStyle w:val="31"/>
        </w:rPr>
        <w:fldChar w:fldCharType="end"/>
      </w:r>
      <w:r>
        <w:t xml:space="preserve">, observado o disposto nos </w:t>
      </w:r>
      <w:r>
        <w:fldChar w:fldCharType="begin"/>
      </w:r>
      <w:r>
        <w:instrText xml:space="preserve"> HYPERLINK "http://www.planalto.gov.br/ccivil_03/_ato2019-2022/2021/lei/L14133.htm" \l "art4§1" </w:instrText>
      </w:r>
      <w:r>
        <w:fldChar w:fldCharType="separate"/>
      </w:r>
      <w:r>
        <w:rPr>
          <w:rStyle w:val="31"/>
        </w:rPr>
        <w:t>§§ 1º ao 3º do art. 4º, da Lei n.º 14.133, de 2021.</w:t>
      </w:r>
      <w:r>
        <w:rPr>
          <w:rStyle w:val="31"/>
        </w:rPr>
        <w:fldChar w:fldCharType="end"/>
      </w:r>
      <w:bookmarkEnd w:id="19"/>
    </w:p>
    <w:p>
      <w:pPr>
        <w:pStyle w:val="57"/>
        <w:numPr>
          <w:ilvl w:val="2"/>
          <w:numId w:val="1"/>
        </w:numPr>
        <w:spacing w:line="360" w:lineRule="auto"/>
        <w:ind w:left="567" w:firstLine="567"/>
      </w:pPr>
      <w:r>
        <w:t>no item exclusivo para participação de microempresas e empresas de pequeno porte, a assinalação do campo “não” impedirá o prosseguimento no certame, para aquele item;</w:t>
      </w:r>
    </w:p>
    <w:p>
      <w:pPr>
        <w:pStyle w:val="57"/>
        <w:numPr>
          <w:ilvl w:val="2"/>
          <w:numId w:val="1"/>
        </w:numPr>
        <w:spacing w:line="360" w:lineRule="auto"/>
        <w:ind w:left="567" w:firstLine="567"/>
      </w:pPr>
      <w: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rStyle w:val="31"/>
        </w:rPr>
        <w:t>Lei Complementar nº 123, de 2006</w:t>
      </w:r>
      <w:r>
        <w:rPr>
          <w:rStyle w:val="31"/>
        </w:rPr>
        <w:fldChar w:fldCharType="end"/>
      </w:r>
      <w:r>
        <w:t>, mesmo que microempresa, empresa de pequeno porte ou sociedade cooperativa.</w:t>
      </w:r>
    </w:p>
    <w:p>
      <w:pPr>
        <w:pStyle w:val="66"/>
        <w:numPr>
          <w:ilvl w:val="1"/>
          <w:numId w:val="1"/>
        </w:numPr>
        <w:spacing w:before="288" w:after="288" w:line="312" w:lineRule="auto"/>
        <w:ind w:left="0" w:firstLine="567"/>
        <w:rPr>
          <w:color w:val="auto"/>
        </w:rPr>
      </w:pPr>
      <w:r>
        <w:rPr>
          <w:color w:val="auto"/>
        </w:rPr>
        <w:t xml:space="preserve">A falsidade da declaração de que trata os itens 3.2 ou 3.4 sujeitará o licitante às sanções previstas na </w:t>
      </w:r>
      <w:r>
        <w:fldChar w:fldCharType="begin"/>
      </w:r>
      <w:r>
        <w:instrText xml:space="preserve"> HYPERLINK "http://www.planalto.gov.br/ccivil_03/_ato2019-2022/2021/lei/L14133.htm" \h </w:instrText>
      </w:r>
      <w:r>
        <w:fldChar w:fldCharType="separate"/>
      </w:r>
      <w:r>
        <w:rPr>
          <w:rStyle w:val="31"/>
        </w:rPr>
        <w:t>Lei nº 14.133, de 2021</w:t>
      </w:r>
      <w:r>
        <w:rPr>
          <w:rStyle w:val="31"/>
        </w:rPr>
        <w:fldChar w:fldCharType="end"/>
      </w:r>
      <w:r>
        <w:rPr>
          <w:color w:val="auto"/>
        </w:rPr>
        <w:t>, e neste Edital.</w:t>
      </w:r>
    </w:p>
    <w:p>
      <w:pPr>
        <w:pStyle w:val="66"/>
        <w:numPr>
          <w:ilvl w:val="1"/>
          <w:numId w:val="1"/>
        </w:numPr>
        <w:spacing w:before="288" w:after="288" w:line="312" w:lineRule="auto"/>
        <w:ind w:left="0" w:firstLine="567"/>
        <w:rPr>
          <w:color w:val="auto"/>
        </w:rPr>
      </w:pPr>
      <w:r>
        <w:rPr>
          <w:rFonts w:eastAsia="Arial"/>
          <w:b/>
        </w:rPr>
        <w:t>Os licitantes poderão alterar o cadastro de seus valores iniciais</w:t>
      </w:r>
      <w:r>
        <w:rPr>
          <w:color w:val="auto"/>
        </w:rPr>
        <w:t xml:space="preserve"> ou, </w:t>
      </w:r>
      <w:r>
        <w:rPr>
          <w:i/>
          <w:iCs/>
        </w:rPr>
        <w:t xml:space="preserve">na hipótese de a fase de habilitação anteceder as fases de apresentação de propostas e lances e de julgamento, </w:t>
      </w:r>
      <w:r>
        <w:rPr>
          <w:i/>
          <w:iCs/>
          <w:color w:val="auto"/>
        </w:rPr>
        <w:t>os documentos de habilitação anteriormente inseridos no sistema</w:t>
      </w:r>
      <w:r>
        <w:rPr>
          <w:color w:val="auto"/>
        </w:rPr>
        <w:t>, até a abertura da sessão pública.</w:t>
      </w:r>
    </w:p>
    <w:p>
      <w:pPr>
        <w:pStyle w:val="66"/>
        <w:numPr>
          <w:ilvl w:val="1"/>
          <w:numId w:val="1"/>
        </w:numPr>
        <w:spacing w:before="288" w:after="288" w:line="312" w:lineRule="auto"/>
        <w:ind w:left="0" w:firstLine="567"/>
        <w:rPr>
          <w:color w:val="auto"/>
        </w:rPr>
      </w:pPr>
      <w:r>
        <w:rPr>
          <w:color w:val="auto"/>
        </w:rPr>
        <w:t>Não haverá ordem de classificação na etapa de apresentação da proposta e dos documentos de habilitação pelo licitante, o que ocorrerá somente após os procedimentos de abertura da sessão pública e da fase de envio de lances.</w:t>
      </w:r>
    </w:p>
    <w:p>
      <w:pPr>
        <w:pStyle w:val="66"/>
        <w:numPr>
          <w:ilvl w:val="1"/>
          <w:numId w:val="1"/>
        </w:numPr>
        <w:spacing w:before="288" w:after="288" w:line="312" w:lineRule="auto"/>
        <w:ind w:left="0" w:firstLine="567"/>
        <w:rPr>
          <w:color w:val="auto"/>
        </w:rPr>
      </w:pPr>
      <w:r>
        <w:rPr>
          <w:color w:val="auto"/>
        </w:rPr>
        <w:t>Serão disponibilizados para acesso público os documentos que compõem a proposta dos licitantes convocados para apresentação de propostas, após a fase de envio de lances.</w:t>
      </w:r>
    </w:p>
    <w:p>
      <w:pPr>
        <w:pStyle w:val="66"/>
        <w:numPr>
          <w:ilvl w:val="1"/>
          <w:numId w:val="1"/>
        </w:numPr>
        <w:spacing w:line="360" w:lineRule="auto"/>
        <w:ind w:left="0" w:firstLine="567"/>
      </w:pPr>
      <w:bookmarkStart w:id="20" w:name="_Ref116992247"/>
      <w:r>
        <w:t>Desde que disponibilizada a funcionalidade no sistema, o licitante poderá parametrizar o seu valor final mínimo ou o seu percentual de desconto máximo quando do cadastramento da proposta e obedecerá às seguintes regras:</w:t>
      </w:r>
      <w:bookmarkEnd w:id="20"/>
    </w:p>
    <w:p>
      <w:pPr>
        <w:pStyle w:val="57"/>
        <w:numPr>
          <w:ilvl w:val="2"/>
          <w:numId w:val="1"/>
        </w:numPr>
        <w:spacing w:line="360" w:lineRule="auto"/>
        <w:ind w:left="567" w:firstLine="567"/>
      </w:pPr>
      <w:r>
        <w:t>a aplicação do intervalo mínimo de diferença de valores ou de percentuais entre os lances, que incidirá tanto em relação aos lances intermediários quanto em relação ao lance que cobrir a melhor oferta; e</w:t>
      </w:r>
    </w:p>
    <w:p>
      <w:pPr>
        <w:pStyle w:val="57"/>
        <w:numPr>
          <w:ilvl w:val="2"/>
          <w:numId w:val="1"/>
        </w:numPr>
        <w:spacing w:line="360" w:lineRule="auto"/>
        <w:ind w:left="567" w:firstLine="567"/>
      </w:pPr>
      <w:r>
        <w:t>os lances serão de envio automático pelo sistema, respeitado o valor final mínimo estabelecido e o intervalo de que trata o subitem acima.</w:t>
      </w:r>
    </w:p>
    <w:p>
      <w:pPr>
        <w:pStyle w:val="66"/>
        <w:numPr>
          <w:ilvl w:val="1"/>
          <w:numId w:val="1"/>
        </w:numPr>
        <w:spacing w:before="288" w:after="288" w:line="312" w:lineRule="auto"/>
        <w:ind w:left="0" w:firstLine="567"/>
      </w:pPr>
      <w:r>
        <w:t>O valor final mínimo ou o percentual de desconto final máximo parametrizado no sistema poderá ser alterado pelo fornecedor durante a fase de disputa, sendo vedado:</w:t>
      </w:r>
    </w:p>
    <w:p>
      <w:pPr>
        <w:pStyle w:val="57"/>
        <w:numPr>
          <w:ilvl w:val="2"/>
          <w:numId w:val="1"/>
        </w:numPr>
        <w:spacing w:line="360" w:lineRule="auto"/>
        <w:ind w:left="567" w:firstLine="567"/>
      </w:pPr>
      <w:r>
        <w:t>valor superior a lance já registrado pelo fornecedor no sistema, quando adotado o critério de julgamento por menor preço; e</w:t>
      </w:r>
    </w:p>
    <w:p>
      <w:pPr>
        <w:pStyle w:val="57"/>
        <w:numPr>
          <w:ilvl w:val="2"/>
          <w:numId w:val="1"/>
        </w:numPr>
        <w:spacing w:line="360" w:lineRule="auto"/>
        <w:ind w:left="567" w:firstLine="567"/>
      </w:pPr>
      <w:r>
        <w:t xml:space="preserve"> percentual de desconto inferior a lance já registrado pelo fornecedor no sistema, quando adotado o critério de julgamento por maior desconto.</w:t>
      </w:r>
    </w:p>
    <w:p>
      <w:pPr>
        <w:pStyle w:val="66"/>
        <w:numPr>
          <w:ilvl w:val="1"/>
          <w:numId w:val="1"/>
        </w:numPr>
        <w:spacing w:before="288" w:after="288" w:line="312" w:lineRule="auto"/>
        <w:ind w:left="0" w:firstLine="567"/>
        <w:rPr>
          <w:color w:val="auto"/>
        </w:rPr>
      </w:pPr>
      <w:r>
        <w:rPr>
          <w:color w:val="auto"/>
        </w:rPr>
        <w:t>O valor final mínimo ou o percentual de desconto final máximo parametrizado na forma do item 3.9 possuirá caráter sigiloso para os demais fornecedores e para o órgão ou entidade promotora da licitação, podendo ser disponibilizado estrita e permanentemente aos órgãos de controle externo e interno.</w:t>
      </w:r>
    </w:p>
    <w:p>
      <w:pPr>
        <w:pStyle w:val="66"/>
        <w:numPr>
          <w:ilvl w:val="1"/>
          <w:numId w:val="1"/>
        </w:numPr>
        <w:spacing w:before="288" w:after="288" w:line="312" w:lineRule="auto"/>
        <w:ind w:left="0" w:firstLine="567"/>
        <w:rPr>
          <w:rFonts w:eastAsia="Times New Roman"/>
          <w:color w:val="auto"/>
        </w:rPr>
      </w:pPr>
      <w:r>
        <w:rPr>
          <w:rFonts w:eastAsia="Times New Roman"/>
          <w:color w:val="auto"/>
        </w:rPr>
        <w:t xml:space="preserve">Caberá ao licitante interessado em participar da licitação </w:t>
      </w:r>
      <w:r>
        <w:rPr>
          <w:color w:val="auto"/>
        </w:rPr>
        <w:t>acompanhar as operações no sistema eletrônico durante o processo licitatório e se responsabilizar pelo ônus decorrente da perda de negócios diante da inobservância de mensagens emitidas pela Administração ou de sua desconexão.</w:t>
      </w:r>
    </w:p>
    <w:p>
      <w:pPr>
        <w:pStyle w:val="66"/>
        <w:numPr>
          <w:ilvl w:val="1"/>
          <w:numId w:val="1"/>
        </w:numPr>
        <w:spacing w:before="288" w:after="288" w:line="312" w:lineRule="auto"/>
        <w:ind w:left="0" w:firstLine="567"/>
      </w:pPr>
      <w:r>
        <w:rPr>
          <w:rFonts w:eastAsia="Times New Roman"/>
          <w:color w:val="auto"/>
        </w:rPr>
        <w:t xml:space="preserve">O licitante deverá </w:t>
      </w:r>
      <w:r>
        <w:rPr>
          <w:color w:val="auto"/>
        </w:rPr>
        <w:t>comunicar imediatamente ao provedor do sistema qualquer acontecimento que possa comprometer o sigilo ou a segurança, para imediato bloqueio de acesso.</w:t>
      </w:r>
    </w:p>
    <w:p>
      <w:pPr>
        <w:rPr>
          <w:rFonts w:ascii="Arial" w:hAnsi="Arial" w:cs="Arial"/>
        </w:rPr>
      </w:pPr>
    </w:p>
    <w:p>
      <w:pPr>
        <w:pStyle w:val="43"/>
        <w:numPr>
          <w:ilvl w:val="0"/>
          <w:numId w:val="1"/>
        </w:numPr>
        <w:spacing w:before="288" w:after="288" w:line="312" w:lineRule="auto"/>
        <w:ind w:left="0" w:firstLine="0"/>
        <w:rPr>
          <w:highlight w:val="lightGray"/>
          <w:lang w:eastAsia="en-US"/>
        </w:rPr>
      </w:pPr>
      <w:bookmarkStart w:id="21" w:name="_Toc130201042"/>
      <w:r>
        <w:rPr>
          <w:highlight w:val="lightGray"/>
          <w:lang w:eastAsia="en-US"/>
        </w:rPr>
        <w:t>DO PREENCHIMENTO DA PROPOSTA</w:t>
      </w:r>
      <w:bookmarkEnd w:id="21"/>
    </w:p>
    <w:p>
      <w:pPr>
        <w:pStyle w:val="66"/>
        <w:numPr>
          <w:ilvl w:val="1"/>
          <w:numId w:val="1"/>
        </w:numPr>
        <w:spacing w:before="288" w:after="288" w:line="312" w:lineRule="auto"/>
        <w:ind w:left="0" w:firstLine="567"/>
        <w:rPr>
          <w:rFonts w:eastAsia="Times New Roman"/>
        </w:rPr>
      </w:pPr>
      <w:r>
        <w:t>O licitante deverá enviar sua proposta mediante o preenchimento, no sistema eletrônico, dos seguintes campos:</w:t>
      </w:r>
    </w:p>
    <w:p>
      <w:pPr>
        <w:pStyle w:val="57"/>
        <w:numPr>
          <w:ilvl w:val="2"/>
          <w:numId w:val="1"/>
        </w:numPr>
        <w:spacing w:line="360" w:lineRule="auto"/>
        <w:ind w:left="567" w:firstLine="567"/>
      </w:pPr>
      <w:r>
        <w:t>Valor unitário mensal e total do item, conforme planilha de composição de custos;</w:t>
      </w:r>
    </w:p>
    <w:p>
      <w:pPr>
        <w:pStyle w:val="66"/>
        <w:numPr>
          <w:ilvl w:val="1"/>
          <w:numId w:val="1"/>
        </w:numPr>
        <w:spacing w:before="288" w:after="288" w:line="312" w:lineRule="auto"/>
        <w:ind w:left="0" w:firstLine="567"/>
        <w:rPr>
          <w:color w:val="auto"/>
        </w:rPr>
      </w:pPr>
      <w:r>
        <w:rPr>
          <w:color w:val="auto"/>
        </w:rPr>
        <w:t>Todas as especificações do objeto contidas na proposta vinculam o licitante.</w:t>
      </w:r>
    </w:p>
    <w:p>
      <w:pPr>
        <w:pStyle w:val="66"/>
        <w:numPr>
          <w:ilvl w:val="1"/>
          <w:numId w:val="1"/>
        </w:numPr>
        <w:spacing w:before="288" w:after="288" w:line="312" w:lineRule="auto"/>
        <w:ind w:left="0" w:firstLine="567"/>
        <w:rPr>
          <w:color w:val="auto"/>
        </w:rPr>
      </w:pPr>
      <w:r>
        <w:rPr>
          <w:color w:val="auto"/>
        </w:rPr>
        <w:t>Nos valores propostos estarão inclusos todos os custos operacionais, encargos previdenciários, trabalhistas, tributários, comerciais e quaisquer outros que incidam direta ou indiretamente na execução do objeto.</w:t>
      </w:r>
    </w:p>
    <w:p>
      <w:pPr>
        <w:pStyle w:val="66"/>
        <w:numPr>
          <w:ilvl w:val="1"/>
          <w:numId w:val="1"/>
        </w:numPr>
        <w:spacing w:before="288" w:after="288" w:line="312" w:lineRule="auto"/>
        <w:ind w:left="0" w:firstLine="567"/>
        <w:rPr>
          <w:color w:val="auto"/>
        </w:rPr>
      </w:pPr>
      <w:r>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66"/>
        <w:numPr>
          <w:ilvl w:val="1"/>
          <w:numId w:val="1"/>
        </w:numPr>
        <w:spacing w:before="288" w:after="288" w:line="312" w:lineRule="auto"/>
        <w:ind w:left="0" w:firstLine="567"/>
        <w:rPr>
          <w:color w:val="auto"/>
        </w:rPr>
      </w:pPr>
      <w:r>
        <w:rPr>
          <w:color w:val="auto"/>
        </w:rPr>
        <w:t xml:space="preserve">Se o regime tributário da empresa implicar o recolhimento de tributos em percentuais variáveis, a cotação adequada será a que corresponde à média dos efetivos recolhimentos da empresa nos últimos doze meses. </w:t>
      </w:r>
    </w:p>
    <w:p>
      <w:pPr>
        <w:pStyle w:val="66"/>
        <w:numPr>
          <w:ilvl w:val="1"/>
          <w:numId w:val="1"/>
        </w:numPr>
        <w:spacing w:before="288" w:after="288" w:line="312" w:lineRule="auto"/>
        <w:ind w:left="0" w:firstLine="567"/>
        <w:rPr>
          <w:color w:val="auto"/>
        </w:rPr>
      </w:pPr>
      <w:r>
        <w:rPr>
          <w:color w:val="auto"/>
        </w:rPr>
        <w:t>Independentemente do percentual de tributo inserido na planilha, no pagamento serão retidos na fonte os percentuais estabelecidos na legislação vigente.</w:t>
      </w:r>
    </w:p>
    <w:p>
      <w:pPr>
        <w:pStyle w:val="66"/>
        <w:numPr>
          <w:ilvl w:val="1"/>
          <w:numId w:val="1"/>
        </w:numPr>
        <w:spacing w:before="288" w:after="288" w:line="312" w:lineRule="auto"/>
        <w:ind w:left="0" w:firstLine="567"/>
        <w:rPr>
          <w:color w:val="auto"/>
        </w:rPr>
      </w:pPr>
      <w:r>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66"/>
        <w:numPr>
          <w:ilvl w:val="1"/>
          <w:numId w:val="1"/>
        </w:numPr>
        <w:spacing w:before="288" w:after="288" w:line="312" w:lineRule="auto"/>
        <w:ind w:left="0" w:firstLine="567"/>
      </w:pPr>
      <w:r>
        <w:t xml:space="preserve">O prazo de validade da proposta não será inferior a </w:t>
      </w:r>
      <w:r>
        <w:rPr>
          <w:b/>
          <w:bCs/>
        </w:rPr>
        <w:t>60 (sessenta)</w:t>
      </w:r>
      <w:r>
        <w:t xml:space="preserve"> dias</w:t>
      </w:r>
      <w:r>
        <w:rPr>
          <w:b/>
        </w:rPr>
        <w:t>,</w:t>
      </w:r>
      <w:r>
        <w:t xml:space="preserve"> a contar da data de sua apresentação.</w:t>
      </w:r>
    </w:p>
    <w:p>
      <w:pPr>
        <w:pStyle w:val="66"/>
        <w:numPr>
          <w:ilvl w:val="1"/>
          <w:numId w:val="1"/>
        </w:numPr>
        <w:spacing w:before="288" w:after="288" w:line="312" w:lineRule="auto"/>
        <w:ind w:left="0" w:firstLine="567"/>
      </w:pPr>
      <w:r>
        <w:t>Os licitantes devem respeitar os preços máximos estabelecidos nas normas de regência de contratações públicas federais, quando participarem de licitações públicas;</w:t>
      </w:r>
    </w:p>
    <w:p>
      <w:pPr>
        <w:pStyle w:val="57"/>
        <w:numPr>
          <w:ilvl w:val="2"/>
          <w:numId w:val="1"/>
        </w:numPr>
        <w:spacing w:before="288" w:after="288" w:line="312" w:lineRule="auto"/>
        <w:ind w:left="567" w:firstLine="567"/>
      </w:pPr>
      <w:r>
        <w:t>Caso o critério de julgamento seja o de maior desconto, o preço já decorrente da aplicação do desconto ofertado deverá respeitar os preços máximos previstos no item 4.9.</w:t>
      </w:r>
    </w:p>
    <w:p>
      <w:pPr>
        <w:pStyle w:val="66"/>
        <w:numPr>
          <w:ilvl w:val="1"/>
          <w:numId w:val="1"/>
        </w:numPr>
        <w:spacing w:before="288" w:after="288" w:line="312" w:lineRule="auto"/>
        <w:ind w:left="0" w:firstLine="567"/>
        <w:rPr>
          <w:rFonts w:eastAsia="Times New Roman"/>
        </w:rPr>
      </w:pPr>
      <w:r>
        <w:t xml:space="preserve">O descumprimento das regras supramencionadas pela Administração por parte dos contratados pode ensejar a </w:t>
      </w:r>
      <w:r>
        <w:rPr>
          <w:color w:val="000000" w:themeColor="text1"/>
          <w14:textFill>
            <w14:solidFill>
              <w14:schemeClr w14:val="tx1"/>
            </w14:solidFill>
          </w14:textFill>
        </w:rPr>
        <w:t>responsabilização pelo</w:t>
      </w:r>
      <w: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rStyle w:val="31"/>
        </w:rPr>
        <w:t>art. 71, inciso IX, da Constituição</w:t>
      </w:r>
      <w:r>
        <w:rPr>
          <w:rStyle w:val="31"/>
        </w:rPr>
        <w:fldChar w:fldCharType="end"/>
      </w:r>
      <w:r>
        <w:t>; ou condenação dos agentes públicos responsáveis e da empresa contratada ao pagamento dos prejuízos ao erário, caso verificada a ocorrência de superfaturamento por sobrepreço na execução do contrato.</w:t>
      </w:r>
    </w:p>
    <w:p>
      <w:pPr>
        <w:pStyle w:val="66"/>
        <w:spacing w:before="288" w:after="288" w:line="312" w:lineRule="auto"/>
        <w:ind w:left="567"/>
      </w:pPr>
    </w:p>
    <w:p>
      <w:pPr>
        <w:pStyle w:val="43"/>
        <w:numPr>
          <w:ilvl w:val="0"/>
          <w:numId w:val="1"/>
        </w:numPr>
        <w:spacing w:before="288" w:after="288" w:line="312" w:lineRule="auto"/>
        <w:ind w:left="0" w:firstLine="0"/>
        <w:rPr>
          <w:highlight w:val="lightGray"/>
          <w:lang w:eastAsia="en-US"/>
        </w:rPr>
      </w:pPr>
      <w:bookmarkStart w:id="22" w:name="_Toc130201043"/>
      <w:r>
        <w:rPr>
          <w:highlight w:val="lightGray"/>
          <w:lang w:eastAsia="en-US"/>
        </w:rPr>
        <w:t>DA ABERTURA DA SESSÃO, CLASSIFICAÇÃO DAS PROPOSTAS E FORMULAÇÃO DE LANCES</w:t>
      </w:r>
      <w:bookmarkEnd w:id="22"/>
    </w:p>
    <w:p>
      <w:pPr>
        <w:pStyle w:val="66"/>
        <w:numPr>
          <w:ilvl w:val="1"/>
          <w:numId w:val="1"/>
        </w:numPr>
        <w:spacing w:before="288" w:after="288" w:line="312" w:lineRule="auto"/>
        <w:ind w:left="0" w:firstLine="567"/>
      </w:pPr>
      <w:r>
        <w:t>A abertura da presente licitação dar-se-á automaticamente em sessão pública, por meio de sistema eletrônico, na data, horário e local indicados neste Edital.</w:t>
      </w:r>
    </w:p>
    <w:p>
      <w:pPr>
        <w:pStyle w:val="66"/>
        <w:numPr>
          <w:ilvl w:val="1"/>
          <w:numId w:val="1"/>
        </w:numPr>
        <w:spacing w:line="360" w:lineRule="auto"/>
        <w:ind w:left="0" w:firstLine="567"/>
      </w:pPr>
      <w:r>
        <w:rPr>
          <w:b/>
          <w:bCs/>
        </w:rPr>
        <w:t>Os licitantes</w:t>
      </w:r>
      <w:r>
        <w:t xml:space="preserve"> </w:t>
      </w:r>
      <w:r>
        <w:rPr>
          <w:rFonts w:eastAsia="Arial"/>
          <w:b/>
        </w:rPr>
        <w:t>poderão alterar o cadastro de seus valores iniciais</w:t>
      </w:r>
      <w:r>
        <w:rPr>
          <w:rFonts w:eastAsia="Arial"/>
        </w:rPr>
        <w:t xml:space="preserve"> ou os documentos de habilitação, quando for o caso, </w:t>
      </w:r>
      <w:r>
        <w:rPr>
          <w:rFonts w:eastAsia="Arial"/>
          <w:b/>
        </w:rPr>
        <w:t>anteriormente inseridos no sistema, até a abertura da sessão pública</w:t>
      </w:r>
      <w:r>
        <w:t>.</w:t>
      </w:r>
    </w:p>
    <w:p>
      <w:pPr>
        <w:pStyle w:val="57"/>
        <w:numPr>
          <w:ilvl w:val="2"/>
          <w:numId w:val="1"/>
        </w:numPr>
        <w:spacing w:line="360" w:lineRule="auto"/>
        <w:ind w:left="567" w:firstLine="567"/>
      </w:pPr>
      <w:r>
        <w:t>Será desclassificada a proposta que identifique o licitante.</w:t>
      </w:r>
    </w:p>
    <w:p>
      <w:pPr>
        <w:pStyle w:val="57"/>
        <w:numPr>
          <w:ilvl w:val="2"/>
          <w:numId w:val="1"/>
        </w:numPr>
        <w:spacing w:line="360" w:lineRule="auto"/>
        <w:ind w:left="567" w:firstLine="567"/>
      </w:pPr>
      <w:r>
        <w:t>A desclassificação será sempre fundamentada e registrada no sistema, com acompanhamento em tempo real por todos os participantes.</w:t>
      </w:r>
    </w:p>
    <w:p>
      <w:pPr>
        <w:pStyle w:val="57"/>
        <w:numPr>
          <w:ilvl w:val="2"/>
          <w:numId w:val="1"/>
        </w:numPr>
        <w:spacing w:line="360" w:lineRule="auto"/>
        <w:ind w:left="567" w:firstLine="567"/>
      </w:pPr>
      <w:r>
        <w:t>A não desclassificação da proposta não impede o seu julgamento definitivo em sentido contrário, levado a efeito na fase de aceitação.</w:t>
      </w:r>
    </w:p>
    <w:p>
      <w:pPr>
        <w:pStyle w:val="66"/>
        <w:numPr>
          <w:ilvl w:val="1"/>
          <w:numId w:val="1"/>
        </w:numPr>
        <w:spacing w:before="288" w:after="288" w:line="312" w:lineRule="auto"/>
        <w:ind w:left="0" w:firstLine="567"/>
      </w:pPr>
      <w:r>
        <w:t>O sistema ordenará automaticamente as propostas classificadas, sendo que somente estas participarão da fase de lances.</w:t>
      </w:r>
    </w:p>
    <w:p>
      <w:pPr>
        <w:pStyle w:val="66"/>
        <w:numPr>
          <w:ilvl w:val="1"/>
          <w:numId w:val="1"/>
        </w:numPr>
        <w:spacing w:before="288" w:after="288" w:line="312" w:lineRule="auto"/>
        <w:ind w:left="0" w:firstLine="567"/>
      </w:pPr>
      <w:r>
        <w:t>O sistema disponibilizará campo próprio para troca de mensagens entre o Pregoeiro e os licitantes.</w:t>
      </w:r>
    </w:p>
    <w:p>
      <w:pPr>
        <w:pStyle w:val="66"/>
        <w:numPr>
          <w:ilvl w:val="1"/>
          <w:numId w:val="1"/>
        </w:numPr>
        <w:spacing w:before="288" w:after="288" w:line="312" w:lineRule="auto"/>
        <w:ind w:left="0" w:firstLine="567"/>
      </w:pPr>
      <w:r>
        <w:t xml:space="preserve">Iniciada a etapa competitiva, os licitantes deverão encaminhar lances exclusivamente por meio de sistema eletrônico, sendo imediatamente informados do seu recebimento e do valor consignado no registro. </w:t>
      </w:r>
    </w:p>
    <w:p>
      <w:pPr>
        <w:pStyle w:val="66"/>
        <w:numPr>
          <w:ilvl w:val="1"/>
          <w:numId w:val="1"/>
        </w:numPr>
        <w:spacing w:before="288" w:after="288" w:line="312" w:lineRule="auto"/>
        <w:ind w:left="0" w:firstLine="567"/>
      </w:pPr>
      <w:r>
        <w:rPr>
          <w:b/>
          <w:bCs/>
        </w:rPr>
        <w:t>O lance deverá ser ofertado pelo valor total do item</w:t>
      </w:r>
    </w:p>
    <w:p>
      <w:pPr>
        <w:pStyle w:val="66"/>
        <w:numPr>
          <w:ilvl w:val="1"/>
          <w:numId w:val="1"/>
        </w:numPr>
        <w:spacing w:before="288" w:after="288" w:line="312" w:lineRule="auto"/>
        <w:ind w:left="0" w:firstLine="567"/>
      </w:pPr>
      <w:r>
        <w:t>Os licitantes poderão oferecer lances sucessivos, observando o horário fixado para abertura da sessão e as regras estabelecidas no Edital.</w:t>
      </w:r>
    </w:p>
    <w:p>
      <w:pPr>
        <w:pStyle w:val="66"/>
        <w:numPr>
          <w:ilvl w:val="1"/>
          <w:numId w:val="1"/>
        </w:numPr>
        <w:spacing w:before="288" w:after="288" w:line="312" w:lineRule="auto"/>
        <w:ind w:left="0" w:firstLine="567"/>
      </w:pPr>
      <w:r>
        <w:t xml:space="preserve">O licitante somente poderá oferecer lance de valor inferior ou percentual de desconto superior ao último por ele ofertado e registrado pelo sistema. </w:t>
      </w:r>
    </w:p>
    <w:p>
      <w:pPr>
        <w:pStyle w:val="66"/>
        <w:numPr>
          <w:ilvl w:val="1"/>
          <w:numId w:val="1"/>
        </w:numPr>
        <w:spacing w:before="288" w:after="288" w:line="312" w:lineRule="auto"/>
        <w:ind w:left="0" w:firstLine="567"/>
      </w:pPr>
      <w:r>
        <w:t xml:space="preserve">O intervalo mínimo de diferença de valores entre os lances, que incidirá tanto em relação aos lances intermediários quanto em relação à proposta que cobrir a melhor oferta deverá ser de </w:t>
      </w:r>
      <w:r>
        <w:rPr>
          <w:b/>
          <w:bCs/>
        </w:rPr>
        <w:t>0,5% (meio ponto percentual)</w:t>
      </w:r>
      <w:r>
        <w:t>.</w:t>
      </w:r>
    </w:p>
    <w:p>
      <w:pPr>
        <w:pStyle w:val="66"/>
        <w:numPr>
          <w:ilvl w:val="1"/>
          <w:numId w:val="1"/>
        </w:numPr>
        <w:spacing w:before="288" w:after="288" w:line="312" w:lineRule="auto"/>
        <w:ind w:left="0" w:firstLine="567"/>
      </w:pPr>
      <w:r>
        <w:t>O licitante poderá, uma única vez, excluir seu último lance ofertado, no intervalo de quinze segundos após o registro no sistema, na hipótese de lance inconsistente ou inexequível.</w:t>
      </w:r>
    </w:p>
    <w:p>
      <w:pPr>
        <w:pStyle w:val="66"/>
        <w:numPr>
          <w:ilvl w:val="1"/>
          <w:numId w:val="1"/>
        </w:numPr>
        <w:spacing w:before="288" w:after="288" w:line="312" w:lineRule="auto"/>
        <w:ind w:left="0" w:firstLine="567"/>
      </w:pPr>
      <w:r>
        <w:t xml:space="preserve">O procedimento seguirá de acordo com o modo de disputa </w:t>
      </w:r>
      <w:r>
        <w:rPr>
          <w:b/>
          <w:bCs/>
        </w:rPr>
        <w:t>aberto-fechado.</w:t>
      </w:r>
    </w:p>
    <w:p>
      <w:pPr>
        <w:pStyle w:val="66"/>
        <w:numPr>
          <w:ilvl w:val="1"/>
          <w:numId w:val="1"/>
        </w:numPr>
        <w:spacing w:before="288" w:after="288" w:line="312" w:lineRule="auto"/>
        <w:ind w:left="0" w:firstLine="567"/>
      </w:pPr>
      <w:r>
        <w:t>Caso seja adotado para o envio de lances no pregão eletrônico o modo de disputa “aberto e fechado”, os licitantes apresentarão lances públicos e sucessivos, com lance final e fechado.</w:t>
      </w:r>
    </w:p>
    <w:p>
      <w:pPr>
        <w:pStyle w:val="57"/>
        <w:numPr>
          <w:ilvl w:val="2"/>
          <w:numId w:val="1"/>
        </w:numPr>
        <w:spacing w:line="360" w:lineRule="auto"/>
        <w:ind w:left="567" w:firstLine="567"/>
      </w:pPr>
      <w: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57"/>
        <w:numPr>
          <w:ilvl w:val="2"/>
          <w:numId w:val="1"/>
        </w:numPr>
        <w:spacing w:line="360" w:lineRule="auto"/>
        <w:ind w:left="567" w:firstLine="567"/>
      </w:pPr>
      <w: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pPr>
        <w:pStyle w:val="57"/>
        <w:numPr>
          <w:ilvl w:val="2"/>
          <w:numId w:val="1"/>
        </w:numPr>
        <w:spacing w:line="360" w:lineRule="auto"/>
        <w:ind w:left="567" w:firstLine="567"/>
      </w:pPr>
      <w:r>
        <w:t>No procedimento de que trata o subitem supra, o licitante poderá optar por manter o seu último lance da etapa aberta, ou por ofertar melhor lance.</w:t>
      </w:r>
    </w:p>
    <w:p>
      <w:pPr>
        <w:pStyle w:val="57"/>
        <w:numPr>
          <w:ilvl w:val="2"/>
          <w:numId w:val="1"/>
        </w:numPr>
        <w:spacing w:line="360" w:lineRule="auto"/>
        <w:ind w:left="567" w:firstLine="567"/>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57"/>
        <w:numPr>
          <w:ilvl w:val="2"/>
          <w:numId w:val="1"/>
        </w:numPr>
        <w:spacing w:line="360" w:lineRule="auto"/>
        <w:ind w:left="567" w:firstLine="567"/>
      </w:pPr>
      <w:r>
        <w:t>Após o término dos prazos estabelecidos nos itens anteriores, o sistema ordenará e divulgará os lances segundo a ordem crescente de valores.</w:t>
      </w:r>
    </w:p>
    <w:p>
      <w:pPr>
        <w:pStyle w:val="66"/>
        <w:numPr>
          <w:ilvl w:val="1"/>
          <w:numId w:val="1"/>
        </w:numPr>
        <w:spacing w:before="288" w:after="288" w:line="312" w:lineRule="auto"/>
        <w:ind w:left="0" w:firstLine="567"/>
      </w:pPr>
      <w:bookmarkStart w:id="23" w:name="_Hlk113698144"/>
      <w:bookmarkEnd w:id="23"/>
      <w:r>
        <w:t xml:space="preserve">Não serão aceitos dois ou mais lances de mesmo valor, prevalecendo aquele que for recebido e registrado em primeiro lugar. </w:t>
      </w:r>
    </w:p>
    <w:p>
      <w:pPr>
        <w:pStyle w:val="66"/>
        <w:numPr>
          <w:ilvl w:val="1"/>
          <w:numId w:val="1"/>
        </w:numPr>
        <w:spacing w:before="288" w:after="288" w:line="312" w:lineRule="auto"/>
        <w:ind w:left="0" w:firstLine="567"/>
      </w:pPr>
      <w:r>
        <w:t xml:space="preserve">Durante o transcurso da sessão pública, os licitantes serão informados, em tempo real, do valor do menor lance registrado, vedada a identificação do licitante. </w:t>
      </w:r>
    </w:p>
    <w:p>
      <w:pPr>
        <w:pStyle w:val="66"/>
        <w:numPr>
          <w:ilvl w:val="1"/>
          <w:numId w:val="1"/>
        </w:numPr>
        <w:spacing w:before="288" w:after="288" w:line="312" w:lineRule="auto"/>
        <w:ind w:left="0" w:firstLine="567"/>
      </w:pPr>
      <w:r>
        <w:t xml:space="preserve">No caso de desconexão com o Pregoeiro, no decorrer da etapa competitiva do Pregão, o sistema eletrônico poderá permanecer acessível aos licitantes para a recepção dos lances. </w:t>
      </w:r>
    </w:p>
    <w:p>
      <w:pPr>
        <w:pStyle w:val="66"/>
        <w:numPr>
          <w:ilvl w:val="1"/>
          <w:numId w:val="1"/>
        </w:numPr>
        <w:spacing w:before="288" w:after="288" w:line="312" w:lineRule="auto"/>
        <w:ind w:left="0" w:firstLine="567"/>
      </w:pPr>
      <w: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66"/>
        <w:numPr>
          <w:ilvl w:val="1"/>
          <w:numId w:val="1"/>
        </w:numPr>
        <w:spacing w:before="288" w:after="288" w:line="312" w:lineRule="auto"/>
        <w:ind w:left="0" w:firstLine="567"/>
      </w:pPr>
      <w:r>
        <w:t>Caso o licitante não apresente lances, concorrerá com o valor de sua proposta.</w:t>
      </w:r>
    </w:p>
    <w:p>
      <w:pPr>
        <w:pStyle w:val="66"/>
        <w:numPr>
          <w:ilvl w:val="1"/>
          <w:numId w:val="1"/>
        </w:numPr>
        <w:spacing w:before="288" w:after="288" w:line="312" w:lineRule="auto"/>
        <w:ind w:left="0" w:firstLine="567"/>
      </w:pPr>
      <w:r>
        <w:t>Em relação a itens não exclusivos para participação de microempresas e empresas de pequeno porte, uma vez encerrada a etapa de lances</w:t>
      </w:r>
      <w:r>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w:instrText>
      </w:r>
      <w:r>
        <w:fldChar w:fldCharType="separate"/>
      </w:r>
      <w:r>
        <w:rPr>
          <w:rStyle w:val="31"/>
          <w:rFonts w:eastAsia="Zurich BT"/>
        </w:rPr>
        <w:t>arts. 44 e 45 da Lei Complementar nº 123, de 2006</w:t>
      </w:r>
      <w:r>
        <w:rPr>
          <w:rStyle w:val="31"/>
          <w:rFonts w:eastAsia="Zurich BT"/>
        </w:rPr>
        <w:fldChar w:fldCharType="end"/>
      </w:r>
      <w:r>
        <w:rPr>
          <w:rFonts w:eastAsia="Zurich BT"/>
        </w:rPr>
        <w:t xml:space="preserve">, regulamentada pelo </w:t>
      </w:r>
      <w:r>
        <w:fldChar w:fldCharType="begin"/>
      </w:r>
      <w:r>
        <w:instrText xml:space="preserve"> HYPERLINK "https://www.planalto.gov.br/ccivil_03/_ato2015-2018/2015/decreto/d8539.htm" \h </w:instrText>
      </w:r>
      <w:r>
        <w:fldChar w:fldCharType="separate"/>
      </w:r>
      <w:r>
        <w:rPr>
          <w:rStyle w:val="31"/>
          <w:rFonts w:eastAsia="Zurich BT"/>
        </w:rPr>
        <w:t>Decreto nº 8.538, de 2015</w:t>
      </w:r>
      <w:r>
        <w:rPr>
          <w:rStyle w:val="31"/>
          <w:rFonts w:eastAsia="Zurich BT"/>
        </w:rPr>
        <w:fldChar w:fldCharType="end"/>
      </w:r>
      <w:r>
        <w:rPr>
          <w:rFonts w:eastAsia="Zurich BT"/>
        </w:rPr>
        <w:t>.</w:t>
      </w:r>
    </w:p>
    <w:p>
      <w:pPr>
        <w:pStyle w:val="57"/>
        <w:numPr>
          <w:ilvl w:val="2"/>
          <w:numId w:val="1"/>
        </w:numPr>
        <w:spacing w:line="360" w:lineRule="auto"/>
        <w:ind w:left="567" w:firstLine="567"/>
      </w:pPr>
      <w:r>
        <w:t xml:space="preserve">Nessas condições, as propostas de </w:t>
      </w:r>
      <w:r>
        <w:rPr>
          <w:rFonts w:eastAsia="Zurich BT"/>
        </w:rPr>
        <w:t xml:space="preserve">microempresas e empresas de pequeno porte </w:t>
      </w:r>
      <w:r>
        <w:t>que se encontrarem na faixa de até 5% (cinco por cento) acima da melhor proposta ou melhor lance serão consideradas empatadas com a primeira colocada.</w:t>
      </w:r>
    </w:p>
    <w:p>
      <w:pPr>
        <w:pStyle w:val="57"/>
        <w:numPr>
          <w:ilvl w:val="2"/>
          <w:numId w:val="1"/>
        </w:numPr>
        <w:spacing w:line="360" w:lineRule="auto"/>
        <w:ind w:left="567" w:firstLine="567"/>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57"/>
        <w:numPr>
          <w:ilvl w:val="2"/>
          <w:numId w:val="1"/>
        </w:numPr>
        <w:spacing w:line="360" w:lineRule="auto"/>
        <w:ind w:left="567" w:firstLine="567"/>
      </w:pPr>
      <w:r>
        <w:t xml:space="preserve">Caso a </w:t>
      </w:r>
      <w:r>
        <w:rPr>
          <w:rFonts w:eastAsia="Zurich BT"/>
        </w:rPr>
        <w:t>microempresa ou a empresa de pequeno porte</w:t>
      </w:r>
      <w:r>
        <w:t xml:space="preserve"> melhor classificada desista ou não se manifeste no prazo estabelecido, serão convocadas as demais licitantes </w:t>
      </w:r>
      <w:r>
        <w:rPr>
          <w:rFonts w:eastAsia="Zurich BT"/>
        </w:rPr>
        <w:t>microempresa e empresa de pequeno porte</w:t>
      </w:r>
      <w:r>
        <w:t xml:space="preserve"> que se encontrem naquele intervalo de 5% (cinco por cento), na ordem de classificação, para o exercício do mesmo direito, no prazo estabelecido no subitem anterior.</w:t>
      </w:r>
    </w:p>
    <w:p>
      <w:pPr>
        <w:pStyle w:val="57"/>
        <w:numPr>
          <w:ilvl w:val="2"/>
          <w:numId w:val="1"/>
        </w:numPr>
        <w:spacing w:line="360" w:lineRule="auto"/>
        <w:ind w:left="567" w:firstLine="567"/>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66"/>
        <w:numPr>
          <w:ilvl w:val="1"/>
          <w:numId w:val="1"/>
        </w:numPr>
        <w:spacing w:before="288" w:after="288" w:line="312" w:lineRule="auto"/>
        <w:ind w:left="0" w:firstLine="567"/>
        <w:rPr>
          <w:rFonts w:eastAsia="Times New Roman"/>
        </w:rPr>
      </w:pPr>
      <w:r>
        <w:t xml:space="preserve">Só poderá haver empate entre propostas iguais (não seguidas de lances), ou entre lances finais da fase fechada do modo de disputa aberto e fechado. </w:t>
      </w:r>
    </w:p>
    <w:p>
      <w:pPr>
        <w:pStyle w:val="57"/>
        <w:numPr>
          <w:ilvl w:val="2"/>
          <w:numId w:val="1"/>
        </w:numPr>
        <w:spacing w:before="288" w:after="288" w:line="312" w:lineRule="auto"/>
        <w:ind w:left="567" w:firstLine="567"/>
      </w:pPr>
      <w: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31"/>
          <w:rFonts w:eastAsia="Arial"/>
        </w:rPr>
        <w:t>art</w:t>
      </w:r>
      <w:r>
        <w:rPr>
          <w:rStyle w:val="31"/>
          <w:rFonts w:eastAsia="Arial"/>
        </w:rPr>
        <w:fldChar w:fldCharType="end"/>
      </w:r>
      <w:r>
        <w:rPr>
          <w:rStyle w:val="31"/>
        </w:rPr>
        <w:t>. 60 da Lei nº 14.133, de 2021</w:t>
      </w:r>
      <w:r>
        <w:t>, nesta ordem:</w:t>
      </w:r>
    </w:p>
    <w:p>
      <w:pPr>
        <w:pStyle w:val="56"/>
        <w:numPr>
          <w:ilvl w:val="3"/>
          <w:numId w:val="1"/>
        </w:numPr>
        <w:spacing w:line="312" w:lineRule="auto"/>
        <w:ind w:left="1276" w:firstLine="284"/>
      </w:pPr>
      <w:r>
        <w:t>disputa final, hipótese em que os licitantes empatados poderão apresentar nova proposta em ato contínuo à classificação;</w:t>
      </w:r>
    </w:p>
    <w:p>
      <w:pPr>
        <w:pStyle w:val="56"/>
        <w:numPr>
          <w:ilvl w:val="3"/>
          <w:numId w:val="1"/>
        </w:numPr>
        <w:spacing w:line="312" w:lineRule="auto"/>
        <w:ind w:left="1276" w:firstLine="284"/>
      </w:pPr>
      <w:r>
        <w:t>avaliação do desempenho contratual prévio dos licitantes, para a qual deverão preferencialmente ser utilizados registros cadastrais para efeito de atesto de cumprimento de obrigações previstos nesta Lei;</w:t>
      </w:r>
    </w:p>
    <w:p>
      <w:pPr>
        <w:pStyle w:val="56"/>
        <w:numPr>
          <w:ilvl w:val="3"/>
          <w:numId w:val="1"/>
        </w:numPr>
        <w:spacing w:line="312" w:lineRule="auto"/>
        <w:ind w:left="1276" w:firstLine="284"/>
      </w:pPr>
      <w:r>
        <w:t>desenvolvimento pelo licitante de ações de equidade entre homens e mulheres no ambiente de trabalho, conforme regulamento;</w:t>
      </w:r>
    </w:p>
    <w:p>
      <w:pPr>
        <w:pStyle w:val="56"/>
        <w:numPr>
          <w:ilvl w:val="3"/>
          <w:numId w:val="1"/>
        </w:numPr>
        <w:spacing w:line="312" w:lineRule="auto"/>
        <w:ind w:left="1276" w:firstLine="284"/>
      </w:pPr>
      <w:r>
        <w:t>desenvolvimento pelo licitante de programa de integridade, conforme orientações dos órgãos de controle.</w:t>
      </w:r>
    </w:p>
    <w:p>
      <w:pPr>
        <w:pStyle w:val="57"/>
        <w:numPr>
          <w:ilvl w:val="2"/>
          <w:numId w:val="1"/>
        </w:numPr>
        <w:spacing w:before="288" w:after="288" w:line="312" w:lineRule="auto"/>
        <w:ind w:left="567" w:firstLine="567"/>
      </w:pPr>
      <w:r>
        <w:t>Persistindo o empate, será assegurada preferência, sucessivamente, aos bens e serviços produzidos ou prestados por:</w:t>
      </w:r>
    </w:p>
    <w:p>
      <w:pPr>
        <w:pStyle w:val="56"/>
        <w:numPr>
          <w:ilvl w:val="3"/>
          <w:numId w:val="1"/>
        </w:numPr>
        <w:spacing w:line="312" w:lineRule="auto"/>
        <w:ind w:left="1276" w:firstLine="284"/>
      </w:pPr>
      <w:bookmarkStart w:id="24" w:name="art60§1i"/>
      <w:bookmarkEnd w:id="24"/>
      <w: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56"/>
        <w:numPr>
          <w:ilvl w:val="3"/>
          <w:numId w:val="1"/>
        </w:numPr>
        <w:spacing w:line="312" w:lineRule="auto"/>
        <w:ind w:left="1276" w:firstLine="284"/>
      </w:pPr>
      <w:bookmarkStart w:id="25" w:name="art60§1ii"/>
      <w:bookmarkEnd w:id="25"/>
      <w:r>
        <w:t>empresas brasileiras;</w:t>
      </w:r>
    </w:p>
    <w:p>
      <w:pPr>
        <w:pStyle w:val="56"/>
        <w:numPr>
          <w:ilvl w:val="3"/>
          <w:numId w:val="1"/>
        </w:numPr>
        <w:spacing w:line="312" w:lineRule="auto"/>
        <w:ind w:left="1276" w:firstLine="284"/>
      </w:pPr>
      <w:bookmarkStart w:id="26" w:name="art60§1iii"/>
      <w:bookmarkEnd w:id="26"/>
      <w:r>
        <w:t>empresas que invistam em pesquisa e no desenvolvimento de tecnologia no País;</w:t>
      </w:r>
    </w:p>
    <w:p>
      <w:pPr>
        <w:pStyle w:val="56"/>
        <w:numPr>
          <w:ilvl w:val="3"/>
          <w:numId w:val="1"/>
        </w:numPr>
        <w:spacing w:line="312" w:lineRule="auto"/>
        <w:ind w:left="1276" w:firstLine="284"/>
      </w:pPr>
      <w:bookmarkStart w:id="27" w:name="art60§1iv"/>
      <w:bookmarkEnd w:id="27"/>
      <w:r>
        <w:t>empresas que comprovem a prática de mitigação, nos termos da </w:t>
      </w:r>
      <w:r>
        <w:fldChar w:fldCharType="begin"/>
      </w:r>
      <w:r>
        <w:instrText xml:space="preserve"> HYPERLINK "https://www.planalto.gov.br/ccivil_03/_ato2007-2010/2009/lei/l12187.htm" \l ":~:text=LEI Nº 12.187%2C DE 29 DE DEZEMBRO DE 2009.&amp;text=Institui a Política Nacional sobre,PNMC e dá outras providências." </w:instrText>
      </w:r>
      <w:r>
        <w:fldChar w:fldCharType="separate"/>
      </w:r>
      <w:r>
        <w:rPr>
          <w:rStyle w:val="31"/>
        </w:rPr>
        <w:t>Lei nº 12.187, de 29 de dezembro de 2009</w:t>
      </w:r>
      <w:r>
        <w:rPr>
          <w:rStyle w:val="31"/>
        </w:rPr>
        <w:fldChar w:fldCharType="end"/>
      </w:r>
      <w:r>
        <w:t>.</w:t>
      </w:r>
    </w:p>
    <w:p>
      <w:pPr>
        <w:pStyle w:val="66"/>
        <w:numPr>
          <w:ilvl w:val="1"/>
          <w:numId w:val="1"/>
        </w:numPr>
        <w:spacing w:before="288" w:after="288" w:line="312" w:lineRule="auto"/>
        <w:ind w:left="0" w:firstLine="567"/>
      </w:pPr>
      <w: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57"/>
        <w:numPr>
          <w:ilvl w:val="2"/>
          <w:numId w:val="1"/>
        </w:numPr>
        <w:spacing w:line="360" w:lineRule="auto"/>
        <w:ind w:left="567" w:firstLine="567"/>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57"/>
        <w:numPr>
          <w:ilvl w:val="2"/>
          <w:numId w:val="1"/>
        </w:numPr>
        <w:spacing w:line="360" w:lineRule="auto"/>
        <w:ind w:left="567" w:firstLine="567"/>
        <w:rPr>
          <w:rFonts w:eastAsia="Times New Roman"/>
        </w:rPr>
      </w:pPr>
      <w:r>
        <w:rPr>
          <w:rFonts w:eastAsia="Times New Roman"/>
        </w:rPr>
        <w:t xml:space="preserve">A </w:t>
      </w:r>
      <w:r>
        <w:t>negociação será realizada por meio do sistema, podendo ser acompanhada pelos demais licitantes.</w:t>
      </w:r>
    </w:p>
    <w:p>
      <w:pPr>
        <w:pStyle w:val="57"/>
        <w:numPr>
          <w:ilvl w:val="2"/>
          <w:numId w:val="1"/>
        </w:numPr>
        <w:spacing w:line="360" w:lineRule="auto"/>
        <w:ind w:left="567" w:firstLine="567"/>
        <w:rPr>
          <w:rFonts w:eastAsia="Times New Roman"/>
        </w:rPr>
      </w:pPr>
      <w:r>
        <w:rPr>
          <w:rFonts w:eastAsia="Times New Roman"/>
        </w:rPr>
        <w:t>O resultado da negociação será divulgado a todos os licitantes e anexado aos autos do processo licitatório</w:t>
      </w:r>
    </w:p>
    <w:p>
      <w:pPr>
        <w:pStyle w:val="57"/>
        <w:numPr>
          <w:ilvl w:val="2"/>
          <w:numId w:val="1"/>
        </w:numPr>
        <w:spacing w:line="360" w:lineRule="auto"/>
        <w:ind w:left="567" w:firstLine="567"/>
      </w:pPr>
      <w:r>
        <w:t xml:space="preserve">O pregoeiro solicitará ao licitante mais bem classificado que, no prazo de 2 </w:t>
      </w:r>
      <w:r>
        <w:rPr>
          <w:color w:val="auto"/>
        </w:rPr>
        <w:t xml:space="preserve">(duas) </w:t>
      </w:r>
      <w:r>
        <w:t>horas, ou conforme descrito no chat pelo Pregoeiro, envie a proposta adequada ao último lance ofertado após a negociação realizada, acompanhada, se for o caso, dos documentos complementares, quando necessários à confirmação daqueles exigidos neste Edital e já apresentados.</w:t>
      </w:r>
      <w:bookmarkStart w:id="28" w:name="_Hlk117016948"/>
      <w:bookmarkEnd w:id="28"/>
    </w:p>
    <w:p>
      <w:pPr>
        <w:pStyle w:val="57"/>
        <w:numPr>
          <w:ilvl w:val="2"/>
          <w:numId w:val="1"/>
        </w:numPr>
        <w:spacing w:line="360" w:lineRule="auto"/>
        <w:ind w:left="567" w:firstLine="567"/>
        <w:rPr>
          <w:rFonts w:eastAsia="Times New Roman"/>
          <w:iCs/>
        </w:rPr>
      </w:pPr>
      <w:r>
        <w:rPr>
          <w:rFonts w:eastAsia="Times New Roman"/>
        </w:rPr>
        <w:t xml:space="preserve">É facultado ao pregoeiro prorrogar o prazo estabelecido, a partir de solicitação fundamentada feita no chat pelo licitante, ou através de solicitação e justificativa encaminhados para o e-mail – </w:t>
      </w:r>
      <w:r>
        <w:fldChar w:fldCharType="begin"/>
      </w:r>
      <w:r>
        <w:instrText xml:space="preserve"> HYPERLINK "mailto:cpl@id.uff.br" </w:instrText>
      </w:r>
      <w:r>
        <w:fldChar w:fldCharType="separate"/>
      </w:r>
      <w:r>
        <w:rPr>
          <w:rStyle w:val="13"/>
          <w:rFonts w:eastAsia="Times New Roman"/>
        </w:rPr>
        <w:t>cpl@id.uff.br</w:t>
      </w:r>
      <w:r>
        <w:rPr>
          <w:rStyle w:val="13"/>
          <w:rFonts w:eastAsia="Times New Roman"/>
        </w:rPr>
        <w:fldChar w:fldCharType="end"/>
      </w:r>
      <w:r>
        <w:rPr>
          <w:rFonts w:eastAsia="Times New Roman"/>
        </w:rPr>
        <w:t>, antes de findo o prazo.</w:t>
      </w:r>
    </w:p>
    <w:p>
      <w:pPr>
        <w:pStyle w:val="66"/>
        <w:numPr>
          <w:ilvl w:val="1"/>
          <w:numId w:val="1"/>
        </w:numPr>
        <w:spacing w:line="360" w:lineRule="auto"/>
        <w:ind w:left="0" w:firstLine="567"/>
        <w:rPr>
          <w:rFonts w:eastAsia="Times New Roman"/>
        </w:rPr>
      </w:pPr>
      <w:bookmarkStart w:id="29" w:name="_Hlk114646655"/>
      <w:r>
        <w:t>Após a negociação do preço, o Pregoeiro iniciará a fase de aceitação e julgamento da proposta.</w:t>
      </w:r>
      <w:bookmarkEnd w:id="29"/>
    </w:p>
    <w:p>
      <w:pPr>
        <w:pStyle w:val="66"/>
        <w:spacing w:line="360" w:lineRule="auto"/>
        <w:ind w:left="567"/>
        <w:rPr>
          <w:rFonts w:eastAsia="Times New Roman"/>
        </w:rPr>
      </w:pPr>
    </w:p>
    <w:p>
      <w:pPr>
        <w:pStyle w:val="43"/>
        <w:numPr>
          <w:ilvl w:val="0"/>
          <w:numId w:val="1"/>
        </w:numPr>
        <w:spacing w:before="288" w:after="288" w:line="312" w:lineRule="auto"/>
        <w:ind w:left="0" w:firstLine="0"/>
        <w:rPr>
          <w:highlight w:val="lightGray"/>
          <w:lang w:eastAsia="en-US"/>
        </w:rPr>
      </w:pPr>
      <w:bookmarkStart w:id="30" w:name="_Toc130201044"/>
      <w:r>
        <w:rPr>
          <w:highlight w:val="lightGray"/>
          <w:lang w:eastAsia="en-US"/>
        </w:rPr>
        <w:t>DA FASE DE JULGAMENTO</w:t>
      </w:r>
      <w:bookmarkEnd w:id="30"/>
    </w:p>
    <w:p>
      <w:pPr>
        <w:pStyle w:val="66"/>
        <w:numPr>
          <w:ilvl w:val="1"/>
          <w:numId w:val="1"/>
        </w:numPr>
        <w:spacing w:before="288" w:after="288" w:line="312" w:lineRule="auto"/>
        <w:ind w:left="0" w:firstLine="567"/>
        <w:rPr>
          <w:b/>
          <w:bCs/>
          <w:lang w:eastAsia="ar-SA"/>
        </w:rPr>
      </w:pPr>
      <w:bookmarkStart w:id="31" w:name="_Ref117019424"/>
      <w: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31"/>
        </w:rPr>
        <w:t>art. 14 da Lei nº 14.133/2021</w:t>
      </w:r>
      <w:r>
        <w:rPr>
          <w:rStyle w:val="31"/>
        </w:rPr>
        <w:fldChar w:fldCharType="end"/>
      </w:r>
      <w:r>
        <w:t xml:space="preserve">, legislação correlata e no item </w:t>
      </w:r>
      <w:r>
        <w:fldChar w:fldCharType="begin"/>
      </w:r>
      <w:r>
        <w:instrText xml:space="preserve">REF _Ref117000692 \r \h</w:instrText>
      </w:r>
      <w:r>
        <w:fldChar w:fldCharType="separate"/>
      </w:r>
      <w:r>
        <w:t>2.6</w:t>
      </w:r>
      <w:r>
        <w:fldChar w:fldCharType="end"/>
      </w:r>
      <w:r>
        <w:t xml:space="preserve"> do edital, </w:t>
      </w:r>
      <w:bookmarkEnd w:id="31"/>
      <w:r>
        <w:rPr>
          <w:color w:val="auto"/>
          <w:lang w:eastAsia="ar-SA"/>
        </w:rPr>
        <w:t>especialmente quanto à existência de sanção que impeça a participação no certame ou a futura contratação,</w:t>
      </w:r>
      <w:r>
        <w:rPr>
          <w:lang w:eastAsia="ar-SA"/>
        </w:rPr>
        <w:t xml:space="preserve"> mediante a consulta aos seguintes cadastros:</w:t>
      </w:r>
    </w:p>
    <w:p>
      <w:pPr>
        <w:pStyle w:val="73"/>
        <w:spacing w:before="113" w:after="113" w:line="312" w:lineRule="auto"/>
        <w:ind w:left="924" w:firstLine="851"/>
        <w:rPr>
          <w:rFonts w:ascii="Arial" w:hAnsi="Arial" w:cs="Arial"/>
          <w:sz w:val="20"/>
          <w:szCs w:val="20"/>
          <w:lang w:eastAsia="ar-SA"/>
        </w:rPr>
      </w:pPr>
      <w:r>
        <w:rPr>
          <w:rFonts w:ascii="Arial" w:hAnsi="Arial" w:cs="Arial"/>
          <w:sz w:val="20"/>
          <w:szCs w:val="20"/>
          <w:lang w:eastAsia="ar-SA"/>
        </w:rPr>
        <w:t xml:space="preserve">a) SICAF;  </w:t>
      </w:r>
    </w:p>
    <w:p>
      <w:pPr>
        <w:pStyle w:val="73"/>
        <w:spacing w:before="113" w:after="113" w:line="312" w:lineRule="auto"/>
        <w:ind w:left="924" w:firstLine="851"/>
        <w:rPr>
          <w:rFonts w:ascii="Arial" w:hAnsi="Arial" w:cs="Arial"/>
          <w:sz w:val="20"/>
          <w:szCs w:val="20"/>
          <w:lang w:eastAsia="ar-SA"/>
        </w:rPr>
      </w:pPr>
      <w:r>
        <w:rPr>
          <w:rFonts w:ascii="Arial" w:hAnsi="Arial" w:cs="Arial"/>
          <w:sz w:val="20"/>
          <w:szCs w:val="20"/>
          <w:lang w:eastAsia="ar-SA"/>
        </w:rPr>
        <w:t>b) 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Style w:val="31"/>
          <w:rFonts w:ascii="Arial" w:hAnsi="Arial" w:cs="Arial"/>
          <w:sz w:val="20"/>
          <w:szCs w:val="20"/>
          <w:lang w:eastAsia="ar-SA"/>
        </w:rPr>
        <w:t>https://www.portaltransparencia.gov.br/sancoes/ceis</w:t>
      </w:r>
      <w:r>
        <w:rPr>
          <w:rStyle w:val="31"/>
          <w:rFonts w:ascii="Arial" w:hAnsi="Arial" w:cs="Arial"/>
          <w:sz w:val="20"/>
          <w:szCs w:val="20"/>
          <w:lang w:eastAsia="ar-SA"/>
        </w:rPr>
        <w:fldChar w:fldCharType="end"/>
      </w:r>
      <w:r>
        <w:rPr>
          <w:rFonts w:ascii="Arial" w:hAnsi="Arial" w:cs="Arial"/>
          <w:sz w:val="20"/>
          <w:szCs w:val="20"/>
          <w:lang w:eastAsia="ar-SA"/>
        </w:rPr>
        <w:t xml:space="preserve">); e </w:t>
      </w:r>
    </w:p>
    <w:p>
      <w:pPr>
        <w:pStyle w:val="73"/>
        <w:spacing w:before="113" w:after="113" w:line="312" w:lineRule="auto"/>
        <w:ind w:left="924" w:firstLine="851"/>
        <w:rPr>
          <w:rFonts w:hint="eastAsia"/>
        </w:rPr>
      </w:pPr>
      <w:r>
        <w:rPr>
          <w:rFonts w:ascii="Arial" w:hAnsi="Arial" w:cs="Arial"/>
          <w:sz w:val="20"/>
          <w:szCs w:val="20"/>
          <w:lang w:eastAsia="ar-SA"/>
        </w:rPr>
        <w:t>c) Cadastro Nacional de Empresas Punidas – CNEP, mantido pela Controladoria-Geral da União (</w:t>
      </w:r>
      <w:r>
        <w:fldChar w:fldCharType="begin"/>
      </w:r>
      <w:r>
        <w:instrText xml:space="preserve"> HYPERLINK "https://www.portaltransparencia.gov.br/sancoes/cnep" \h </w:instrText>
      </w:r>
      <w:r>
        <w:fldChar w:fldCharType="separate"/>
      </w:r>
      <w:r>
        <w:rPr>
          <w:rStyle w:val="31"/>
          <w:rFonts w:ascii="Arial" w:hAnsi="Arial" w:cs="Arial"/>
          <w:sz w:val="20"/>
          <w:szCs w:val="20"/>
          <w:lang w:eastAsia="ar-SA"/>
        </w:rPr>
        <w:t>https://www.portaltransparencia.gov.br/sancoes/cnep</w:t>
      </w:r>
      <w:r>
        <w:rPr>
          <w:rStyle w:val="31"/>
          <w:rFonts w:ascii="Arial" w:hAnsi="Arial" w:cs="Arial"/>
          <w:sz w:val="20"/>
          <w:szCs w:val="20"/>
          <w:lang w:eastAsia="ar-SA"/>
        </w:rPr>
        <w:fldChar w:fldCharType="end"/>
      </w:r>
      <w:r>
        <w:fldChar w:fldCharType="begin"/>
      </w:r>
      <w:r>
        <w:instrText xml:space="preserve"> HYPERLINK \h </w:instrText>
      </w:r>
      <w:r>
        <w:fldChar w:fldCharType="separate"/>
      </w:r>
      <w:r>
        <w:rPr>
          <w:rFonts w:ascii="Arial" w:hAnsi="Arial" w:cs="Arial"/>
          <w:sz w:val="20"/>
          <w:szCs w:val="20"/>
          <w:lang w:eastAsia="ar-SA"/>
        </w:rPr>
        <w:t>).</w:t>
      </w:r>
      <w:r>
        <w:rPr>
          <w:rFonts w:ascii="Arial" w:hAnsi="Arial" w:cs="Arial"/>
          <w:sz w:val="20"/>
          <w:szCs w:val="20"/>
          <w:lang w:eastAsia="ar-SA"/>
        </w:rPr>
        <w:fldChar w:fldCharType="end"/>
      </w:r>
    </w:p>
    <w:p>
      <w:pPr>
        <w:pStyle w:val="73"/>
        <w:spacing w:before="113" w:after="113" w:line="312" w:lineRule="auto"/>
        <w:ind w:left="924" w:firstLine="851"/>
        <w:rPr>
          <w:rFonts w:hint="eastAsia"/>
        </w:rPr>
      </w:pPr>
      <w:r>
        <w:rPr>
          <w:rFonts w:ascii="Arial" w:hAnsi="Arial" w:cs="Arial"/>
          <w:color w:val="000000"/>
          <w:sz w:val="20"/>
          <w:szCs w:val="20"/>
          <w:lang w:eastAsia="ar-SA"/>
        </w:rPr>
        <w:t>d) Lista de Inidôneos e o Cadastro Integrado de Condenações por Ilícitos Administrativos - CADICON, mantidos pelo Tribunal de Contas da União - TCU;</w:t>
      </w:r>
    </w:p>
    <w:p>
      <w:pPr>
        <w:pStyle w:val="57"/>
        <w:numPr>
          <w:ilvl w:val="2"/>
          <w:numId w:val="1"/>
        </w:numPr>
        <w:spacing w:before="288" w:after="288" w:line="312" w:lineRule="auto"/>
        <w:ind w:left="567" w:firstLine="567"/>
      </w:pPr>
      <w:r>
        <w:t>Para a consulta de licitantes pessoa jurídica poderá haver a substituição das consultas das alíneas “b”, “c” e “d” acima pela Consulta Consolidada de Pessoa Jurídica do TCU (https://certidoesapf.apps.tcu.gov.br/)</w:t>
      </w:r>
    </w:p>
    <w:p>
      <w:pPr>
        <w:pStyle w:val="66"/>
        <w:numPr>
          <w:ilvl w:val="1"/>
          <w:numId w:val="1"/>
        </w:numPr>
        <w:spacing w:before="288" w:after="288" w:line="312" w:lineRule="auto"/>
        <w:ind w:left="0" w:firstLine="567"/>
      </w:pPr>
      <w: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":~:text=às seguintes cominações%3A-,Art.,nº 12.120%2C de 2009)." </w:instrText>
      </w:r>
      <w:r>
        <w:fldChar w:fldCharType="separate"/>
      </w:r>
      <w:r>
        <w:rPr>
          <w:rStyle w:val="31"/>
        </w:rPr>
        <w:t>artigo 12 da Lei n° 8.429, de 1992</w:t>
      </w:r>
      <w:r>
        <w:rPr>
          <w:rStyle w:val="31"/>
        </w:rPr>
        <w:fldChar w:fldCharType="end"/>
      </w:r>
      <w:r>
        <w:t>.</w:t>
      </w:r>
    </w:p>
    <w:p>
      <w:pPr>
        <w:pStyle w:val="66"/>
        <w:numPr>
          <w:ilvl w:val="1"/>
          <w:numId w:val="1"/>
        </w:numPr>
        <w:spacing w:before="288" w:after="288" w:line="312" w:lineRule="auto"/>
        <w:ind w:left="0" w:firstLine="567"/>
      </w:pPr>
      <w:r>
        <w:t>Caso conste na Consulta de Situação do l</w:t>
      </w:r>
      <w:r>
        <w:rPr>
          <w:color w:val="auto"/>
        </w:rPr>
        <w:t xml:space="preserve">icitante </w:t>
      </w:r>
      <w:r>
        <w:t xml:space="preserve">a existência de Ocorrências Impeditivas Indiretas, o </w:t>
      </w:r>
      <w:r>
        <w:rPr>
          <w:color w:val="auto"/>
        </w:rPr>
        <w:t>Pregoeiro diligenciará para v</w:t>
      </w:r>
      <w:r>
        <w:t>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31"/>
        </w:rPr>
        <w:t xml:space="preserve">IN nº 3/2018, art. 29, </w:t>
      </w:r>
      <w:r>
        <w:rPr>
          <w:rStyle w:val="31"/>
        </w:rPr>
        <w:fldChar w:fldCharType="end"/>
      </w:r>
      <w:r>
        <w:rPr>
          <w:rStyle w:val="31"/>
          <w:i/>
          <w:iCs/>
        </w:rPr>
        <w:t>caput</w:t>
      </w:r>
      <w:r>
        <w:t>)</w:t>
      </w:r>
    </w:p>
    <w:p>
      <w:pPr>
        <w:pStyle w:val="57"/>
        <w:numPr>
          <w:ilvl w:val="2"/>
          <w:numId w:val="1"/>
        </w:numPr>
        <w:spacing w:line="360" w:lineRule="auto"/>
        <w:ind w:left="567" w:firstLine="567"/>
      </w:pPr>
      <w: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\h </w:instrText>
      </w:r>
      <w:r>
        <w:fldChar w:fldCharType="separate"/>
      </w:r>
      <w:r>
        <w:rPr>
          <w:rStyle w:val="31"/>
        </w:rPr>
        <w:t>IN nº 3/2018, art. 29, §1º</w:t>
      </w:r>
      <w:r>
        <w:rPr>
          <w:rStyle w:val="31"/>
        </w:rPr>
        <w:fldChar w:fldCharType="end"/>
      </w:r>
      <w:r>
        <w:t>).</w:t>
      </w:r>
    </w:p>
    <w:p>
      <w:pPr>
        <w:pStyle w:val="57"/>
        <w:numPr>
          <w:ilvl w:val="2"/>
          <w:numId w:val="1"/>
        </w:numPr>
        <w:spacing w:line="360" w:lineRule="auto"/>
        <w:ind w:left="567" w:firstLine="567"/>
      </w:pPr>
      <w: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\h </w:instrText>
      </w:r>
      <w:r>
        <w:fldChar w:fldCharType="separate"/>
      </w:r>
      <w:r>
        <w:rPr>
          <w:rStyle w:val="31"/>
        </w:rPr>
        <w:t>IN nº 3/2018, art. 29, §2º</w:t>
      </w:r>
      <w:r>
        <w:rPr>
          <w:rStyle w:val="31"/>
        </w:rPr>
        <w:fldChar w:fldCharType="end"/>
      </w:r>
      <w:r>
        <w:t>).</w:t>
      </w:r>
    </w:p>
    <w:p>
      <w:pPr>
        <w:pStyle w:val="57"/>
        <w:numPr>
          <w:ilvl w:val="2"/>
          <w:numId w:val="1"/>
        </w:numPr>
        <w:spacing w:line="360" w:lineRule="auto"/>
        <w:ind w:left="567" w:firstLine="567"/>
      </w:pPr>
      <w:r>
        <w:t>Constatada a existência de sanção, o licitante será reputado inabilitado, por falta de condição de participação.</w:t>
      </w:r>
    </w:p>
    <w:p>
      <w:pPr>
        <w:pStyle w:val="66"/>
        <w:numPr>
          <w:ilvl w:val="1"/>
          <w:numId w:val="1"/>
        </w:numPr>
        <w:spacing w:before="288" w:after="288" w:line="312" w:lineRule="auto"/>
        <w:ind w:left="0" w:firstLine="567"/>
      </w:pPr>
      <w:r>
        <w:t>Caso atendidas as condições de participação, será iniciado o procedimento de habilitação.</w:t>
      </w:r>
    </w:p>
    <w:p>
      <w:pPr>
        <w:pStyle w:val="66"/>
        <w:numPr>
          <w:ilvl w:val="1"/>
          <w:numId w:val="1"/>
        </w:numPr>
        <w:spacing w:before="288" w:after="288" w:line="312" w:lineRule="auto"/>
        <w:ind w:left="0" w:firstLine="567"/>
      </w:pPr>
      <w:r>
        <w:t xml:space="preserve">Caso o licitante provisoriamente classificado em primeiro lugar tenha se utilizado de algum tratamento favorecido às ME/EPPs, o pregoeiro verificará se faz jus ao benefício, em conformidade com os itens </w:t>
      </w:r>
      <w:r>
        <w:fldChar w:fldCharType="begin"/>
      </w:r>
      <w:r>
        <w:instrText xml:space="preserve">REF _Ref117015508 \r \h</w:instrText>
      </w:r>
      <w:r>
        <w:fldChar w:fldCharType="separate"/>
      </w:r>
      <w:r>
        <w:rPr>
          <w:b/>
          <w:bCs/>
        </w:rPr>
        <w:t>Erro! Fonte de referência não encontrada.</w:t>
      </w:r>
      <w:r>
        <w:fldChar w:fldCharType="end"/>
      </w:r>
      <w:r>
        <w:t xml:space="preserve"> e </w:t>
      </w:r>
      <w:r>
        <w:fldChar w:fldCharType="begin"/>
      </w:r>
      <w:r>
        <w:instrText xml:space="preserve">REF _Ref117000019 \r \h</w:instrText>
      </w:r>
      <w:r>
        <w:fldChar w:fldCharType="separate"/>
      </w:r>
      <w:r>
        <w:t>3.4</w:t>
      </w:r>
      <w:r>
        <w:fldChar w:fldCharType="end"/>
      </w:r>
      <w:r>
        <w:t xml:space="preserve"> deste edital.</w:t>
      </w:r>
    </w:p>
    <w:p>
      <w:pPr>
        <w:pStyle w:val="66"/>
        <w:numPr>
          <w:ilvl w:val="1"/>
          <w:numId w:val="1"/>
        </w:numPr>
        <w:spacing w:before="288" w:after="288" w:line="312" w:lineRule="auto"/>
        <w:ind w:left="0" w:firstLine="567"/>
        <w:rPr>
          <w:b/>
        </w:rPr>
      </w:pPr>
      <w: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31"/>
        </w:rPr>
        <w:t>artigo 29 a 35 da IN SEGES nº 73, de 30 de setembro de 2022</w:t>
      </w:r>
      <w:r>
        <w:rPr>
          <w:rStyle w:val="31"/>
        </w:rPr>
        <w:fldChar w:fldCharType="end"/>
      </w:r>
      <w:r>
        <w:t>.</w:t>
      </w:r>
    </w:p>
    <w:p>
      <w:pPr>
        <w:pStyle w:val="66"/>
        <w:numPr>
          <w:ilvl w:val="1"/>
          <w:numId w:val="1"/>
        </w:numPr>
        <w:spacing w:before="288" w:after="288" w:line="312" w:lineRule="auto"/>
        <w:ind w:left="0" w:firstLine="567"/>
        <w:rPr>
          <w:b/>
        </w:rPr>
      </w:pPr>
      <w:r>
        <w:t xml:space="preserve">Será desclassificada a proposta vencedora que: </w:t>
      </w:r>
    </w:p>
    <w:p>
      <w:pPr>
        <w:pStyle w:val="57"/>
        <w:numPr>
          <w:ilvl w:val="2"/>
          <w:numId w:val="1"/>
        </w:numPr>
        <w:spacing w:line="360" w:lineRule="auto"/>
        <w:ind w:left="567" w:firstLine="567"/>
        <w:rPr>
          <w:b/>
        </w:rPr>
      </w:pPr>
      <w:r>
        <w:t>contiver vícios insanáveis;</w:t>
      </w:r>
    </w:p>
    <w:p>
      <w:pPr>
        <w:pStyle w:val="57"/>
        <w:numPr>
          <w:ilvl w:val="2"/>
          <w:numId w:val="1"/>
        </w:numPr>
        <w:spacing w:line="360" w:lineRule="auto"/>
        <w:ind w:left="567" w:firstLine="567"/>
        <w:rPr>
          <w:b/>
        </w:rPr>
      </w:pPr>
      <w:r>
        <w:t>não obedecer às especificações técnicas contidas no Termo de Referência;</w:t>
      </w:r>
    </w:p>
    <w:p>
      <w:pPr>
        <w:pStyle w:val="57"/>
        <w:numPr>
          <w:ilvl w:val="2"/>
          <w:numId w:val="1"/>
        </w:numPr>
        <w:spacing w:line="360" w:lineRule="auto"/>
        <w:ind w:left="567" w:firstLine="567"/>
        <w:rPr>
          <w:b/>
        </w:rPr>
      </w:pPr>
      <w:r>
        <w:t>apresentar preços inexequíveis ou permanecerem acima do preço máximo definido para a contratação;</w:t>
      </w:r>
    </w:p>
    <w:p>
      <w:pPr>
        <w:pStyle w:val="57"/>
        <w:numPr>
          <w:ilvl w:val="2"/>
          <w:numId w:val="1"/>
        </w:numPr>
        <w:spacing w:line="360" w:lineRule="auto"/>
        <w:ind w:left="567" w:firstLine="567"/>
        <w:rPr>
          <w:b/>
        </w:rPr>
      </w:pPr>
      <w:r>
        <w:t>não tiverem sua exequibilidade demonstrada, quando exigido pela Administração;</w:t>
      </w:r>
    </w:p>
    <w:p>
      <w:pPr>
        <w:pStyle w:val="57"/>
        <w:numPr>
          <w:ilvl w:val="2"/>
          <w:numId w:val="1"/>
        </w:numPr>
        <w:spacing w:line="360" w:lineRule="auto"/>
        <w:ind w:left="567" w:firstLine="567"/>
        <w:rPr>
          <w:b/>
        </w:rPr>
      </w:pPr>
      <w:r>
        <w:t>apresentar desconformidade com quaisquer outras exigências deste Edital ou seus anexos, desde que insanável.</w:t>
      </w:r>
    </w:p>
    <w:p>
      <w:pPr>
        <w:pStyle w:val="66"/>
        <w:numPr>
          <w:ilvl w:val="1"/>
          <w:numId w:val="1"/>
        </w:numPr>
        <w:spacing w:before="288" w:after="288" w:line="312" w:lineRule="auto"/>
        <w:ind w:left="0" w:firstLine="567"/>
        <w:rPr>
          <w:b/>
          <w:bCs/>
        </w:rPr>
      </w:pPr>
      <w:r>
        <w:t>No caso de bens e serviços em geral, é indício de inexequibilidade das propostas valores inferiores a 50% (cinquenta por cento) do valor orçado pela Administração.</w:t>
      </w:r>
    </w:p>
    <w:p>
      <w:pPr>
        <w:pStyle w:val="57"/>
        <w:numPr>
          <w:ilvl w:val="2"/>
          <w:numId w:val="1"/>
        </w:numPr>
        <w:spacing w:before="288" w:after="288" w:line="312" w:lineRule="auto"/>
        <w:ind w:left="567" w:firstLine="567"/>
      </w:pPr>
      <w:r>
        <w:t xml:space="preserve">A inexequibilidade, na hipótese de que trata o </w:t>
      </w:r>
      <w:r>
        <w:rPr>
          <w:b/>
          <w:bCs/>
        </w:rPr>
        <w:t>caput</w:t>
      </w:r>
      <w:r>
        <w:t>, só será considerada após diligência do pregoeiro, que comprove:</w:t>
      </w:r>
    </w:p>
    <w:p>
      <w:pPr>
        <w:pStyle w:val="56"/>
        <w:numPr>
          <w:ilvl w:val="3"/>
          <w:numId w:val="1"/>
        </w:numPr>
        <w:spacing w:line="312" w:lineRule="auto"/>
        <w:ind w:left="1276" w:firstLine="284"/>
      </w:pPr>
      <w:r>
        <w:t>que o custo do licitante ultrapassa o valor da proposta; e</w:t>
      </w:r>
    </w:p>
    <w:p>
      <w:pPr>
        <w:pStyle w:val="56"/>
        <w:numPr>
          <w:ilvl w:val="3"/>
          <w:numId w:val="1"/>
        </w:numPr>
        <w:spacing w:line="312" w:lineRule="auto"/>
        <w:ind w:left="1276" w:firstLine="284"/>
      </w:pPr>
      <w:r>
        <w:t>inexistirem custos de oportunidade capazes de justificar o vulto da oferta.</w:t>
      </w:r>
    </w:p>
    <w:p>
      <w:pPr>
        <w:pStyle w:val="66"/>
        <w:numPr>
          <w:ilvl w:val="1"/>
          <w:numId w:val="1"/>
        </w:numPr>
        <w:spacing w:before="288" w:after="288" w:line="312" w:lineRule="auto"/>
        <w:ind w:left="0" w:firstLine="567"/>
        <w:rPr>
          <w:b/>
          <w:bCs/>
        </w:rPr>
      </w:pPr>
      <w:r>
        <w:t>Em contratação de serviços de engenharia, além das disposições acima, a análise de exequibilidade e sobrepreço considerará o seguinte:</w:t>
      </w:r>
    </w:p>
    <w:p>
      <w:pPr>
        <w:pStyle w:val="57"/>
        <w:numPr>
          <w:ilvl w:val="2"/>
          <w:numId w:val="1"/>
        </w:numPr>
        <w:spacing w:line="360" w:lineRule="auto"/>
        <w:ind w:left="567" w:firstLine="567"/>
        <w:rPr>
          <w:b/>
        </w:rPr>
      </w:pPr>
      <w:r>
        <w:t>Nos regimes de execução por tarefa, empreitada por preço global ou empreitada integral, semi-integrada ou integrada, a caracterização do sobrepreço se dará pela superação do valor global estimado;</w:t>
      </w:r>
    </w:p>
    <w:p>
      <w:pPr>
        <w:pStyle w:val="57"/>
        <w:numPr>
          <w:ilvl w:val="2"/>
          <w:numId w:val="1"/>
        </w:numPr>
        <w:spacing w:line="360" w:lineRule="auto"/>
        <w:ind w:left="567" w:firstLine="567"/>
        <w:rPr>
          <w:b/>
          <w:color w:val="auto"/>
        </w:rPr>
      </w:pPr>
      <w:r>
        <w:t xml:space="preserve">No regime de empreitada por preço unitário, a caracterização do sobrepreço se dará pela superação do valor global estimado </w:t>
      </w:r>
      <w:r>
        <w:rPr>
          <w:color w:val="auto"/>
        </w:rPr>
        <w:t xml:space="preserve">e </w:t>
      </w:r>
      <w:r>
        <w:rPr>
          <w:i/>
          <w:iCs/>
          <w:color w:val="auto"/>
        </w:rPr>
        <w:t>pela superação de custo unitário tido como relevante, conforme planilha anexa ao edital;</w:t>
      </w:r>
    </w:p>
    <w:p>
      <w:pPr>
        <w:pStyle w:val="57"/>
        <w:numPr>
          <w:ilvl w:val="2"/>
          <w:numId w:val="1"/>
        </w:numPr>
        <w:spacing w:line="360" w:lineRule="auto"/>
        <w:ind w:left="567" w:firstLine="567"/>
        <w:rPr>
          <w:b/>
          <w:bCs/>
        </w:rPr>
      </w:pPr>
      <w:r>
        <w:t>No caso de serviços de engenharia, serão consideradas inexequíveis as propostas cujos valores forem inferiores a 75% (setenta e cinco por cento) do valor orçado pela Administração, independentemente do regime de execução.</w:t>
      </w:r>
    </w:p>
    <w:p>
      <w:pPr>
        <w:pStyle w:val="57"/>
        <w:numPr>
          <w:ilvl w:val="2"/>
          <w:numId w:val="1"/>
        </w:numPr>
        <w:spacing w:line="360" w:lineRule="auto"/>
        <w:ind w:left="567" w:firstLine="567"/>
        <w:rPr>
          <w:b/>
        </w:rPr>
      </w:pPr>
      <w: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pPr>
        <w:pStyle w:val="66"/>
        <w:numPr>
          <w:ilvl w:val="1"/>
          <w:numId w:val="1"/>
        </w:numPr>
        <w:spacing w:before="288" w:after="288" w:line="312" w:lineRule="auto"/>
        <w:ind w:left="0" w:firstLine="567"/>
        <w:rPr>
          <w:b/>
        </w:rPr>
      </w:pPr>
      <w:r>
        <w:t>Se houver indícios de inexequibilidade da proposta de preço, ou em caso da necessidade de esclarecimentos complementares, poderão ser efetuadas diligências, para que a empresa comprove a exequibilidade da proposta.</w:t>
      </w:r>
    </w:p>
    <w:p>
      <w:pPr>
        <w:pStyle w:val="66"/>
        <w:numPr>
          <w:ilvl w:val="1"/>
          <w:numId w:val="1"/>
        </w:numPr>
        <w:spacing w:before="288" w:after="288" w:line="312" w:lineRule="auto"/>
        <w:ind w:left="0" w:firstLine="567"/>
        <w:rPr>
          <w:b/>
        </w:rPr>
      </w:pPr>
      <w: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pStyle w:val="57"/>
        <w:numPr>
          <w:ilvl w:val="2"/>
          <w:numId w:val="1"/>
        </w:numPr>
        <w:spacing w:before="288" w:after="288" w:line="312" w:lineRule="auto"/>
        <w:ind w:left="567" w:firstLine="567"/>
        <w:rPr>
          <w:b/>
          <w:bCs/>
        </w:rPr>
      </w:pPr>
      <w: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pPr>
        <w:pStyle w:val="66"/>
        <w:numPr>
          <w:ilvl w:val="1"/>
          <w:numId w:val="1"/>
        </w:numPr>
        <w:spacing w:before="288" w:after="288" w:line="312" w:lineRule="auto"/>
        <w:ind w:left="0" w:firstLine="567"/>
        <w:rPr>
          <w:b/>
        </w:rPr>
      </w:pPr>
      <w:r>
        <w:t>Erros no preenchimento da planilha não constituem motivo para a desclassificação da proposta. A planilha poderá́ ser ajustada pelo fornecedor, no prazo indicado pelo sistema, desde que não haja majoração do preço.</w:t>
      </w:r>
    </w:p>
    <w:p>
      <w:pPr>
        <w:pStyle w:val="57"/>
        <w:numPr>
          <w:ilvl w:val="2"/>
          <w:numId w:val="1"/>
        </w:numPr>
        <w:spacing w:line="360" w:lineRule="auto"/>
        <w:ind w:left="567" w:firstLine="567"/>
        <w:rPr>
          <w:b/>
        </w:rPr>
      </w:pPr>
      <w:r>
        <w:t>O ajuste de que trata este dispositivo se limita a sanar erros ou falhas que não alterem a substância das propostas;</w:t>
      </w:r>
    </w:p>
    <w:p>
      <w:pPr>
        <w:pStyle w:val="57"/>
        <w:numPr>
          <w:ilvl w:val="2"/>
          <w:numId w:val="1"/>
        </w:numPr>
        <w:spacing w:line="360" w:lineRule="auto"/>
        <w:ind w:left="567" w:firstLine="567"/>
        <w:rPr>
          <w:b/>
        </w:rPr>
      </w:pPr>
      <w:r>
        <w:t>Considera-se erro no preenchimento da planilha passível de correção a indicação de recolhimento de impostos e contribuições na forma do Simples Nacional, quando não cabível esse regime.</w:t>
      </w:r>
    </w:p>
    <w:p>
      <w:pPr>
        <w:pStyle w:val="66"/>
        <w:numPr>
          <w:ilvl w:val="1"/>
          <w:numId w:val="1"/>
        </w:numPr>
        <w:spacing w:before="288" w:after="288" w:line="312" w:lineRule="auto"/>
        <w:ind w:left="0" w:firstLine="567"/>
        <w:rPr>
          <w:b/>
        </w:rPr>
      </w:pPr>
      <w:r>
        <w:rPr>
          <w:lang w:eastAsia="en-US"/>
        </w:rPr>
        <w:t xml:space="preserve">Para fins de análise da proposta quanto ao cumprimento </w:t>
      </w:r>
      <w:r>
        <w:t>das</w:t>
      </w:r>
      <w:r>
        <w:rPr>
          <w:lang w:eastAsia="en-US"/>
        </w:rPr>
        <w:t xml:space="preserve"> especificações do objeto, poderá ser colhida a </w:t>
      </w:r>
      <w:r>
        <w:t>manifestação</w:t>
      </w:r>
      <w:r>
        <w:rPr>
          <w:lang w:eastAsia="en-US"/>
        </w:rPr>
        <w:t xml:space="preserve"> escrita do setor requisitante do serviço ou da área especializada no objeto.</w:t>
      </w:r>
    </w:p>
    <w:p>
      <w:pPr>
        <w:pStyle w:val="66"/>
        <w:spacing w:before="288" w:after="288" w:line="312" w:lineRule="auto"/>
        <w:ind w:left="567"/>
        <w:rPr>
          <w:b/>
        </w:rPr>
      </w:pPr>
    </w:p>
    <w:p>
      <w:pPr>
        <w:pStyle w:val="43"/>
        <w:numPr>
          <w:ilvl w:val="0"/>
          <w:numId w:val="1"/>
        </w:numPr>
        <w:spacing w:before="288" w:after="288" w:line="312" w:lineRule="auto"/>
        <w:ind w:left="0" w:firstLine="0"/>
        <w:rPr>
          <w:highlight w:val="lightGray"/>
          <w:lang w:eastAsia="en-US"/>
        </w:rPr>
      </w:pPr>
      <w:bookmarkStart w:id="32" w:name="_Toc130201045"/>
      <w:r>
        <w:rPr>
          <w:highlight w:val="lightGray"/>
          <w:lang w:eastAsia="en-US"/>
        </w:rPr>
        <w:t>DA FASE DE HABILITAÇÃO</w:t>
      </w:r>
      <w:bookmarkEnd w:id="32"/>
    </w:p>
    <w:p>
      <w:pPr>
        <w:pStyle w:val="66"/>
        <w:numPr>
          <w:ilvl w:val="1"/>
          <w:numId w:val="1"/>
        </w:numPr>
        <w:spacing w:before="288" w:after="288" w:line="312" w:lineRule="auto"/>
        <w:ind w:left="0" w:firstLine="567"/>
      </w:pPr>
      <w: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31"/>
        </w:rPr>
        <w:t>arts. 62 a 70 da Lei nº 14.133, de 2021</w:t>
      </w:r>
      <w:r>
        <w:rPr>
          <w:rStyle w:val="31"/>
        </w:rPr>
        <w:fldChar w:fldCharType="end"/>
      </w:r>
      <w:r>
        <w:t>.</w:t>
      </w:r>
    </w:p>
    <w:p>
      <w:pPr>
        <w:pStyle w:val="57"/>
        <w:numPr>
          <w:ilvl w:val="2"/>
          <w:numId w:val="1"/>
        </w:numPr>
        <w:spacing w:before="288" w:after="288" w:line="312" w:lineRule="auto"/>
        <w:ind w:left="567" w:firstLine="567"/>
        <w:rPr>
          <w:i/>
          <w:iCs/>
        </w:rPr>
      </w:pPr>
      <w:bookmarkStart w:id="33" w:name="_Ref114663777"/>
      <w:r>
        <w:t>A documentação exigida para fins de habilitação jurídica, fiscal, social e trabalhista e econômico-ﬁnanceira, poderá ser substituída pelo registro cadastral no SICAF.</w:t>
      </w:r>
      <w:bookmarkEnd w:id="33"/>
    </w:p>
    <w:p>
      <w:pPr>
        <w:pStyle w:val="66"/>
        <w:numPr>
          <w:ilvl w:val="1"/>
          <w:numId w:val="1"/>
        </w:numPr>
        <w:spacing w:before="288" w:after="288" w:line="312" w:lineRule="auto"/>
        <w:ind w:left="0" w:firstLine="567"/>
        <w:rPr>
          <w:i/>
        </w:rPr>
      </w:pPr>
      <w:r>
        <w:t>Quando permitida a participação de empresas estrangeiras que não funcionem no País, as exigências de habilitação serão atendidas mediante documentos equivalentes, inicialmente apresentados em tradução livre.</w:t>
      </w:r>
    </w:p>
    <w:p>
      <w:pPr>
        <w:pStyle w:val="57"/>
        <w:numPr>
          <w:ilvl w:val="2"/>
          <w:numId w:val="1"/>
        </w:numPr>
        <w:spacing w:before="288" w:after="288" w:line="312" w:lineRule="auto"/>
        <w:ind w:left="567" w:firstLine="567"/>
        <w:rPr>
          <w:i/>
          <w:iCs/>
        </w:rPr>
      </w:pPr>
      <w: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31"/>
        </w:rPr>
        <w:t>Decreto nº 8.660, de 29 de janeiro de 2016</w:t>
      </w:r>
      <w:r>
        <w:rPr>
          <w:rStyle w:val="31"/>
        </w:rPr>
        <w:fldChar w:fldCharType="end"/>
      </w:r>
      <w:r>
        <w:t>, ou de outro que venha a substituí-lo, ou consularizados pelos respectivos consulados ou embaixadas.</w:t>
      </w:r>
    </w:p>
    <w:p>
      <w:pPr>
        <w:pStyle w:val="66"/>
        <w:numPr>
          <w:ilvl w:val="1"/>
          <w:numId w:val="1"/>
        </w:numPr>
        <w:spacing w:before="288" w:after="288" w:line="312" w:lineRule="auto"/>
        <w:ind w:left="0" w:firstLine="567"/>
      </w:pPr>
      <w:r>
        <w:t>Os documentos exigidos para fins de habilitação poderão ser apresentados em original, por cópia ou por meio eletrônico, certificados ou assinados digitalmente</w:t>
      </w:r>
      <w:r>
        <w:rPr>
          <w:iCs/>
          <w:color w:val="FF0000"/>
        </w:rPr>
        <w:t>.</w:t>
      </w:r>
    </w:p>
    <w:p>
      <w:pPr>
        <w:pStyle w:val="66"/>
        <w:numPr>
          <w:ilvl w:val="1"/>
          <w:numId w:val="1"/>
        </w:numPr>
        <w:spacing w:before="288" w:after="288" w:line="312" w:lineRule="auto"/>
        <w:ind w:left="0" w:firstLine="567"/>
        <w:rPr>
          <w:i/>
        </w:rPr>
      </w:pPr>
      <w:r>
        <w:t>Os documentos exigidos para fins de habilitação poderão ser substituídos por registro cadastral emitido por órgão ou entidade pública, desde que o registro tenha sido feito em obediência ao disposto na Lei nº 14.133/2021.</w:t>
      </w:r>
    </w:p>
    <w:p>
      <w:pPr>
        <w:pStyle w:val="66"/>
        <w:numPr>
          <w:ilvl w:val="1"/>
          <w:numId w:val="1"/>
        </w:numPr>
        <w:spacing w:before="288" w:after="288" w:line="312" w:lineRule="auto"/>
        <w:ind w:left="0" w:firstLine="567"/>
      </w:pPr>
      <w: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w:instrText>
      </w:r>
      <w:r>
        <w:fldChar w:fldCharType="separate"/>
      </w:r>
      <w:r>
        <w:rPr>
          <w:rStyle w:val="31"/>
        </w:rPr>
        <w:t>art. 63, I, da Lei nº 14.133/2021</w:t>
      </w:r>
      <w:r>
        <w:rPr>
          <w:rStyle w:val="31"/>
        </w:rPr>
        <w:fldChar w:fldCharType="end"/>
      </w:r>
      <w:r>
        <w:t>).</w:t>
      </w:r>
    </w:p>
    <w:p>
      <w:pPr>
        <w:pStyle w:val="66"/>
        <w:numPr>
          <w:ilvl w:val="1"/>
          <w:numId w:val="1"/>
        </w:numPr>
        <w:spacing w:before="288" w:after="288" w:line="312" w:lineRule="auto"/>
        <w:ind w:left="0" w:firstLine="567"/>
        <w:rPr>
          <w:i/>
        </w:rPr>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pStyle w:val="66"/>
        <w:numPr>
          <w:ilvl w:val="1"/>
          <w:numId w:val="1"/>
        </w:numPr>
        <w:spacing w:before="288" w:after="288" w:line="312" w:lineRule="auto"/>
        <w:ind w:left="0" w:firstLine="567"/>
        <w:rPr>
          <w:i/>
        </w:rPr>
      </w:pPr>
      <w: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66"/>
        <w:spacing w:before="288" w:after="288" w:line="312" w:lineRule="auto"/>
        <w:ind w:left="567"/>
        <w:rPr>
          <w:b/>
          <w:bCs/>
          <w:i/>
          <w:iCs/>
          <w:color w:val="FF0000"/>
        </w:rPr>
      </w:pPr>
      <w:r>
        <w:rPr>
          <w:b/>
          <w:bCs/>
          <w:i/>
          <w:iCs/>
          <w:color w:val="auto"/>
        </w:rPr>
        <w:t>VISTORIA</w:t>
      </w:r>
    </w:p>
    <w:p>
      <w:pPr>
        <w:pStyle w:val="66"/>
        <w:numPr>
          <w:ilvl w:val="1"/>
          <w:numId w:val="1"/>
        </w:numPr>
        <w:spacing w:before="288" w:after="288" w:line="312" w:lineRule="auto"/>
        <w:ind w:left="0" w:firstLine="567"/>
        <w:rPr>
          <w:i/>
          <w:iCs/>
          <w:color w:val="FF0000"/>
        </w:rPr>
      </w:pPr>
      <w: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pPr>
        <w:pStyle w:val="57"/>
        <w:numPr>
          <w:ilvl w:val="2"/>
          <w:numId w:val="1"/>
        </w:numPr>
        <w:spacing w:line="360" w:lineRule="auto"/>
        <w:ind w:left="567" w:firstLine="567"/>
        <w:rPr>
          <w:i/>
          <w:iCs/>
          <w:color w:val="FF0000"/>
        </w:rPr>
      </w:pPr>
      <w:r>
        <w:t>O licitante que optar por realizar vistoria prévia terá disponibilizado pela Administração data e horário exclusivos, a ser agendado conforme descrito no Anexo I – Termo de Referência, de modo que seu agendamento não coincida com o agendamento de outros licitantes.</w:t>
      </w:r>
    </w:p>
    <w:p>
      <w:pPr>
        <w:pStyle w:val="57"/>
        <w:numPr>
          <w:ilvl w:val="2"/>
          <w:numId w:val="1"/>
        </w:numPr>
        <w:spacing w:line="360" w:lineRule="auto"/>
        <w:ind w:left="567" w:firstLine="567"/>
      </w:pPr>
      <w:r>
        <w:t>Caso o licitante opte por não realizar vistoria, poderá substituir a declaração exigida no presente item por declaração formal assinada pelo seu responsável técnico acerca do conhecimento pleno das condições e peculiaridades da contratação.</w:t>
      </w:r>
    </w:p>
    <w:p>
      <w:pPr>
        <w:pStyle w:val="66"/>
        <w:numPr>
          <w:ilvl w:val="1"/>
          <w:numId w:val="1"/>
        </w:numPr>
        <w:spacing w:before="288" w:after="288" w:line="312" w:lineRule="auto"/>
        <w:ind w:left="0" w:firstLine="567"/>
        <w:rPr>
          <w:i/>
        </w:rPr>
      </w:pPr>
      <w:r>
        <w:t>A habilitação será verificada por meio do Sicaf, nos documentos por ele abrangidos.</w:t>
      </w:r>
    </w:p>
    <w:p>
      <w:pPr>
        <w:pStyle w:val="57"/>
        <w:numPr>
          <w:ilvl w:val="2"/>
          <w:numId w:val="1"/>
        </w:numPr>
        <w:spacing w:before="288" w:after="288" w:line="312" w:lineRule="auto"/>
        <w:ind w:left="567" w:firstLine="567"/>
      </w:pPr>
      <w: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31"/>
        </w:rPr>
        <w:t>IN nº 3/2018, art. 4º, §1º, e art. 6º, §4º</w:t>
      </w:r>
      <w:r>
        <w:rPr>
          <w:rStyle w:val="31"/>
        </w:rPr>
        <w:fldChar w:fldCharType="end"/>
      </w:r>
      <w:r>
        <w:t>).</w:t>
      </w:r>
    </w:p>
    <w:p>
      <w:pPr>
        <w:pStyle w:val="66"/>
        <w:numPr>
          <w:ilvl w:val="1"/>
          <w:numId w:val="1"/>
        </w:numPr>
        <w:spacing w:before="288" w:after="288" w:line="312" w:lineRule="auto"/>
        <w:ind w:left="0" w:firstLine="567"/>
        <w:rPr>
          <w:color w:val="auto"/>
        </w:rPr>
      </w:pPr>
      <w:r>
        <w:rPr>
          <w:color w:val="auto"/>
        </w:rPr>
        <w:t xml:space="preserve">É de responsabilidade do </w:t>
      </w:r>
      <w:r>
        <w:t>l</w:t>
      </w:r>
      <w:r>
        <w:rPr>
          <w:color w:val="auto"/>
        </w:rPr>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31"/>
        </w:rPr>
        <w:t xml:space="preserve">IN nº 3/2018, art. 7º, </w:t>
      </w:r>
      <w:r>
        <w:rPr>
          <w:rStyle w:val="31"/>
          <w:i/>
          <w:iCs/>
        </w:rPr>
        <w:t>caput</w:t>
      </w:r>
      <w:r>
        <w:rPr>
          <w:rStyle w:val="31"/>
          <w:i/>
          <w:iCs/>
        </w:rPr>
        <w:fldChar w:fldCharType="end"/>
      </w:r>
      <w:r>
        <w:rPr>
          <w:color w:val="auto"/>
        </w:rPr>
        <w:t>).</w:t>
      </w:r>
    </w:p>
    <w:p>
      <w:pPr>
        <w:pStyle w:val="57"/>
        <w:numPr>
          <w:ilvl w:val="2"/>
          <w:numId w:val="1"/>
        </w:numPr>
        <w:spacing w:before="288" w:after="288" w:line="312" w:lineRule="auto"/>
        <w:ind w:left="567" w:firstLine="567"/>
      </w:pPr>
      <w: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\h </w:instrText>
      </w:r>
      <w:r>
        <w:fldChar w:fldCharType="separate"/>
      </w:r>
      <w:r>
        <w:rPr>
          <w:rStyle w:val="31"/>
        </w:rPr>
        <w:t>IN nº 3/2018, art. 7º, parágrafo único</w:t>
      </w:r>
      <w:r>
        <w:rPr>
          <w:rStyle w:val="31"/>
        </w:rPr>
        <w:fldChar w:fldCharType="end"/>
      </w:r>
      <w:r>
        <w:t>).</w:t>
      </w:r>
    </w:p>
    <w:p>
      <w:pPr>
        <w:pStyle w:val="66"/>
        <w:numPr>
          <w:ilvl w:val="1"/>
          <w:numId w:val="1"/>
        </w:numPr>
        <w:spacing w:before="288" w:after="288" w:line="312" w:lineRule="auto"/>
        <w:ind w:left="0" w:firstLine="567"/>
        <w:rPr>
          <w:i/>
          <w:iCs/>
        </w:rPr>
      </w:pPr>
      <w:r>
        <w:t>A verificação pelo pregoeiro, em sítios eletrônicos oficiais de órgãos e entidades emissores de certidões constitui meio legal de prova, para fins de habilitação.</w:t>
      </w:r>
    </w:p>
    <w:p>
      <w:pPr>
        <w:pStyle w:val="57"/>
        <w:numPr>
          <w:ilvl w:val="2"/>
          <w:numId w:val="1"/>
        </w:numPr>
        <w:spacing w:line="360" w:lineRule="auto"/>
        <w:ind w:left="567" w:firstLine="567"/>
      </w:pPr>
      <w:bookmarkStart w:id="34" w:name="_Ref114663151"/>
      <w:r>
        <w:t>Os documentos exigidos para habilitação que não estejam contemplados no Sicaf serão enviados por meio do sistema, em formato digital, no prazo de 2 (duas) horas, ou conforme solicitação do Pregoeiro através do chat, prorrogável por igual período, contado da solicitação do pregoeiro.</w:t>
      </w:r>
      <w:bookmarkEnd w:id="34"/>
    </w:p>
    <w:p>
      <w:pPr>
        <w:pStyle w:val="57"/>
        <w:numPr>
          <w:ilvl w:val="2"/>
          <w:numId w:val="1"/>
        </w:numPr>
        <w:spacing w:line="360" w:lineRule="auto"/>
        <w:ind w:left="567" w:firstLine="567"/>
        <w:rPr>
          <w:i/>
          <w:iCs/>
          <w:color w:val="auto"/>
        </w:rPr>
      </w:pPr>
      <w:r>
        <w:rPr>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\h </w:instrText>
      </w:r>
      <w:r>
        <w:fldChar w:fldCharType="separate"/>
      </w:r>
      <w:r>
        <w:rPr>
          <w:rStyle w:val="31"/>
        </w:rPr>
        <w:t xml:space="preserve">§ 1º do art. 36 e no § 1º do art. 39 da </w:t>
      </w:r>
      <w:r>
        <w:rPr>
          <w:rStyle w:val="31"/>
          <w:i/>
          <w:iCs/>
        </w:rPr>
        <w:t>Instrução Normativa SEGES nº 73, de 30 de setembro de 2022</w:t>
      </w:r>
      <w:r>
        <w:rPr>
          <w:rStyle w:val="31"/>
        </w:rPr>
        <w:t>.</w:t>
      </w:r>
      <w:r>
        <w:rPr>
          <w:rStyle w:val="31"/>
        </w:rPr>
        <w:fldChar w:fldCharType="end"/>
      </w:r>
    </w:p>
    <w:p>
      <w:pPr>
        <w:pStyle w:val="66"/>
        <w:numPr>
          <w:ilvl w:val="1"/>
          <w:numId w:val="1"/>
        </w:numPr>
        <w:spacing w:before="288" w:after="288" w:line="312" w:lineRule="auto"/>
        <w:ind w:left="0" w:firstLine="567"/>
        <w:rPr>
          <w:i/>
        </w:rPr>
      </w:pPr>
      <w:r>
        <w:t>A verificação no Sicaf ou a exigência dos documentos nele não contidos somente será feita em relação ao licitante vencedor.</w:t>
      </w:r>
    </w:p>
    <w:p>
      <w:pPr>
        <w:pStyle w:val="57"/>
        <w:numPr>
          <w:ilvl w:val="2"/>
          <w:numId w:val="1"/>
        </w:numPr>
        <w:spacing w:line="360" w:lineRule="auto"/>
        <w:ind w:left="567" w:firstLine="567"/>
        <w:rPr>
          <w:i/>
        </w:rPr>
      </w:pPr>
      <w:r>
        <w:t>Os documentos relativos à regularidade fiscal que constem do Termo de Referência somente serão exigidos, em qualquer caso, em momento posterior ao julgamento das propostas, e apenas do licitante mais bem classificado.</w:t>
      </w:r>
    </w:p>
    <w:p>
      <w:pPr>
        <w:pStyle w:val="57"/>
        <w:numPr>
          <w:ilvl w:val="2"/>
          <w:numId w:val="1"/>
        </w:numPr>
        <w:spacing w:line="360" w:lineRule="auto"/>
        <w:ind w:left="567" w:firstLine="567"/>
        <w:rPr>
          <w:i/>
        </w:rPr>
      </w:pPr>
      <w: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pPr>
        <w:pStyle w:val="66"/>
        <w:numPr>
          <w:ilvl w:val="1"/>
          <w:numId w:val="1"/>
        </w:numPr>
        <w:spacing w:before="288" w:after="288" w:line="312" w:lineRule="auto"/>
        <w:ind w:left="0" w:firstLine="567"/>
        <w:rPr>
          <w:i/>
        </w:rPr>
      </w:pPr>
      <w: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w:instrText>
      </w:r>
      <w:r>
        <w:fldChar w:fldCharType="separate"/>
      </w:r>
      <w:r>
        <w:rPr>
          <w:rStyle w:val="31"/>
        </w:rPr>
        <w:t>Lei 14.133/21, art. 64</w:t>
      </w:r>
      <w:r>
        <w:rPr>
          <w:rStyle w:val="31"/>
        </w:rPr>
        <w:fldChar w:fldCharType="end"/>
      </w:r>
      <w: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31"/>
        </w:rPr>
        <w:t>IN 73/2022, art. 39, §4º</w:t>
      </w:r>
      <w:r>
        <w:rPr>
          <w:rStyle w:val="31"/>
        </w:rPr>
        <w:fldChar w:fldCharType="end"/>
      </w:r>
      <w:r>
        <w:t>):</w:t>
      </w:r>
    </w:p>
    <w:p>
      <w:pPr>
        <w:pStyle w:val="57"/>
        <w:numPr>
          <w:ilvl w:val="2"/>
          <w:numId w:val="1"/>
        </w:numPr>
        <w:spacing w:line="360" w:lineRule="auto"/>
        <w:ind w:left="567" w:firstLine="567"/>
        <w:rPr>
          <w:i/>
          <w:iCs/>
        </w:rPr>
      </w:pPr>
      <w:r>
        <w:t>complementação de informações acerca dos documentos já apresentados pelos licitantes e desde que necessária para apurar fatos existentes à época da abertura do certame; e</w:t>
      </w:r>
    </w:p>
    <w:p>
      <w:pPr>
        <w:pStyle w:val="57"/>
        <w:numPr>
          <w:ilvl w:val="2"/>
          <w:numId w:val="1"/>
        </w:numPr>
        <w:spacing w:line="360" w:lineRule="auto"/>
        <w:ind w:left="567" w:firstLine="567"/>
        <w:rPr>
          <w:i/>
          <w:iCs/>
        </w:rPr>
      </w:pPr>
      <w:r>
        <w:t>atualização de documentos cuja validade tenha expirado após a data de recebimento das propostas;</w:t>
      </w:r>
    </w:p>
    <w:p>
      <w:pPr>
        <w:pStyle w:val="57"/>
        <w:numPr>
          <w:ilvl w:val="2"/>
          <w:numId w:val="1"/>
        </w:numPr>
        <w:spacing w:line="360" w:lineRule="auto"/>
        <w:ind w:left="567" w:firstLine="567"/>
        <w:rPr>
          <w:rFonts w:eastAsia="Times New Roman"/>
          <w:b/>
          <w:bCs/>
        </w:rPr>
      </w:pPr>
      <w:r>
        <w:rPr>
          <w:rFonts w:eastAsia="Times New Roman"/>
          <w:b/>
          <w:bCs/>
        </w:rPr>
        <w:t>A desclassificação da licitante sem que lhe seja conferida a oportunidade para sanear os seus documentos de habilitação e/ou proposta, resulta em objetivo dissociado do interesse público (Acordão n.º 1211/2021 – Plenário do TCU);</w:t>
      </w:r>
    </w:p>
    <w:p>
      <w:pPr>
        <w:pStyle w:val="57"/>
        <w:numPr>
          <w:ilvl w:val="2"/>
          <w:numId w:val="1"/>
        </w:numPr>
        <w:spacing w:line="360" w:lineRule="auto"/>
        <w:ind w:left="567" w:firstLine="567"/>
        <w:rPr>
          <w:i/>
          <w:iCs/>
        </w:rPr>
      </w:pPr>
      <w:r>
        <w:rPr>
          <w:rFonts w:eastAsia="Times New Roman"/>
          <w:b/>
          <w:bCs/>
        </w:rPr>
        <w:t>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 conforme Acórdãos do TCU 2.673/2021, 2.443/2021 e 468/2022, ambos do Plenário.</w:t>
      </w:r>
    </w:p>
    <w:p>
      <w:pPr>
        <w:pStyle w:val="66"/>
        <w:numPr>
          <w:ilvl w:val="1"/>
          <w:numId w:val="1"/>
        </w:numPr>
        <w:spacing w:before="288" w:after="288" w:line="312" w:lineRule="auto"/>
        <w:ind w:left="0" w:firstLine="567"/>
        <w:rPr>
          <w:i/>
        </w:rPr>
      </w:pPr>
      <w:bookmarkStart w:id="35" w:name="_Ref114670319"/>
      <w: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5"/>
    </w:p>
    <w:p>
      <w:pPr>
        <w:pStyle w:val="66"/>
        <w:numPr>
          <w:ilvl w:val="1"/>
          <w:numId w:val="1"/>
        </w:numPr>
        <w:spacing w:before="288" w:after="288" w:line="312" w:lineRule="auto"/>
        <w:ind w:left="0" w:firstLine="567"/>
        <w:rPr>
          <w:i/>
          <w:iCs/>
          <w:color w:val="auto"/>
        </w:rPr>
      </w:pPr>
      <w:bookmarkStart w:id="36" w:name="_Ref114665528"/>
      <w:r>
        <w:t xml:space="preserve">Na hipótese de o licitante não atender às exigências para habilitação, o pregoeiro examinará a proposta subsequente e assim sucessivamente, na ordem </w:t>
      </w:r>
      <w:r>
        <w:rPr>
          <w:color w:val="auto"/>
        </w:rPr>
        <w:t xml:space="preserve">de classificação, até a apuração de uma proposta que atenda ao presente edital, observado o prazo disposto no subitem </w:t>
      </w:r>
      <w:r>
        <w:rPr>
          <w:color w:val="auto"/>
        </w:rPr>
        <w:fldChar w:fldCharType="begin"/>
      </w:r>
      <w:r>
        <w:instrText xml:space="preserve">REF _Ref114663151 \r \h</w:instrText>
      </w:r>
      <w:r>
        <w:fldChar w:fldCharType="separate"/>
      </w:r>
      <w:r>
        <w:t>7.11.1</w:t>
      </w:r>
      <w:r>
        <w:fldChar w:fldCharType="end"/>
      </w:r>
      <w:r>
        <w:rPr>
          <w:color w:val="auto"/>
        </w:rPr>
        <w:t>.</w:t>
      </w:r>
      <w:bookmarkEnd w:id="36"/>
    </w:p>
    <w:p>
      <w:pPr>
        <w:pStyle w:val="66"/>
        <w:numPr>
          <w:ilvl w:val="1"/>
          <w:numId w:val="1"/>
        </w:numPr>
        <w:spacing w:before="288" w:after="288" w:line="312" w:lineRule="auto"/>
        <w:ind w:left="0" w:firstLine="567"/>
        <w:rPr>
          <w:i/>
        </w:rPr>
      </w:pPr>
      <w:bookmarkStart w:id="37" w:name="_Ref114665515"/>
      <w:r>
        <w:t>Somente serão disponibilizados para acesso público os documentos de habilitação do licitante cuja proposta atenda ao edital de licitação, após concluídos os procedimentos de que trata o subitem anterior</w:t>
      </w:r>
      <w:bookmarkEnd w:id="37"/>
      <w:r>
        <w:t>.</w:t>
      </w:r>
    </w:p>
    <w:p>
      <w:pPr>
        <w:pStyle w:val="66"/>
        <w:numPr>
          <w:ilvl w:val="1"/>
          <w:numId w:val="1"/>
        </w:numPr>
        <w:spacing w:before="288" w:after="288" w:line="312" w:lineRule="auto"/>
        <w:ind w:left="0" w:firstLine="567"/>
        <w:rPr>
          <w:i/>
        </w:rPr>
      </w:pPr>
      <w: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w:instrText>
      </w:r>
      <w:r>
        <w:fldChar w:fldCharType="separate"/>
      </w:r>
      <w:r>
        <w:rPr>
          <w:rStyle w:val="31"/>
        </w:rPr>
        <w:t>art. 4º do Decreto nº 8.538/2015</w:t>
      </w:r>
      <w:r>
        <w:rPr>
          <w:rStyle w:val="31"/>
        </w:rPr>
        <w:fldChar w:fldCharType="end"/>
      </w:r>
      <w:r>
        <w:t>).</w:t>
      </w:r>
    </w:p>
    <w:p>
      <w:pPr>
        <w:pStyle w:val="66"/>
        <w:spacing w:before="288" w:after="288" w:line="312" w:lineRule="auto"/>
        <w:ind w:left="567"/>
        <w:rPr>
          <w:i/>
          <w:highlight w:val="lightGray"/>
        </w:rPr>
      </w:pPr>
    </w:p>
    <w:p>
      <w:pPr>
        <w:pStyle w:val="43"/>
        <w:numPr>
          <w:ilvl w:val="0"/>
          <w:numId w:val="1"/>
        </w:numPr>
        <w:spacing w:before="288" w:after="288" w:line="312" w:lineRule="auto"/>
        <w:ind w:left="0" w:firstLine="0"/>
        <w:rPr>
          <w:highlight w:val="lightGray"/>
          <w:lang w:eastAsia="en-US"/>
        </w:rPr>
      </w:pPr>
      <w:bookmarkStart w:id="38" w:name="_Toc130201046"/>
      <w:r>
        <w:rPr>
          <w:highlight w:val="lightGray"/>
          <w:lang w:eastAsia="en-US"/>
        </w:rPr>
        <w:t>DOS RECURSOS</w:t>
      </w:r>
      <w:bookmarkEnd w:id="38"/>
    </w:p>
    <w:p>
      <w:pPr>
        <w:pStyle w:val="66"/>
        <w:numPr>
          <w:ilvl w:val="1"/>
          <w:numId w:val="1"/>
        </w:numPr>
        <w:spacing w:before="288" w:after="288" w:line="312" w:lineRule="auto"/>
        <w:ind w:left="0" w:firstLine="567"/>
      </w:pPr>
      <w: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31"/>
        </w:rPr>
        <w:t>art. 165 da Lei nº 14.133, de 2021</w:t>
      </w:r>
      <w:r>
        <w:rPr>
          <w:rStyle w:val="31"/>
        </w:rPr>
        <w:fldChar w:fldCharType="end"/>
      </w:r>
      <w:r>
        <w:t>.</w:t>
      </w:r>
    </w:p>
    <w:p>
      <w:pPr>
        <w:pStyle w:val="66"/>
        <w:numPr>
          <w:ilvl w:val="1"/>
          <w:numId w:val="1"/>
        </w:numPr>
        <w:spacing w:before="288" w:after="288" w:line="312" w:lineRule="auto"/>
        <w:ind w:left="0" w:firstLine="567"/>
      </w:pPr>
      <w:r>
        <w:t>O prazo recursal é de 3 (três) dias úteis, contados da data de intimação ou de lavratura da ata.</w:t>
      </w:r>
    </w:p>
    <w:p>
      <w:pPr>
        <w:pStyle w:val="66"/>
        <w:numPr>
          <w:ilvl w:val="1"/>
          <w:numId w:val="1"/>
        </w:numPr>
        <w:spacing w:before="288" w:after="288" w:line="312" w:lineRule="auto"/>
        <w:ind w:left="0" w:firstLine="567"/>
      </w:pPr>
      <w:r>
        <w:t>Quando o recurso apresentado impugnar o julgamento das propostas ou o ato de habilitação ou inabilitação do licitante:</w:t>
      </w:r>
    </w:p>
    <w:p>
      <w:pPr>
        <w:pStyle w:val="57"/>
        <w:numPr>
          <w:ilvl w:val="2"/>
          <w:numId w:val="1"/>
        </w:numPr>
        <w:spacing w:line="360" w:lineRule="auto"/>
        <w:ind w:left="567" w:firstLine="567"/>
      </w:pPr>
      <w:r>
        <w:t>a intenção de recorrer deverá ser manifestada imediatamente, sob pena de preclusão;</w:t>
      </w:r>
    </w:p>
    <w:p>
      <w:pPr>
        <w:pStyle w:val="57"/>
        <w:numPr>
          <w:ilvl w:val="2"/>
          <w:numId w:val="1"/>
        </w:numPr>
        <w:spacing w:line="360" w:lineRule="auto"/>
        <w:ind w:left="567" w:firstLine="567"/>
        <w:rPr>
          <w:color w:val="000000" w:themeColor="text1"/>
          <w14:textFill>
            <w14:solidFill>
              <w14:schemeClr w14:val="tx1"/>
            </w14:solidFill>
          </w14:textFill>
        </w:rPr>
      </w:pPr>
      <w:r>
        <w:rPr>
          <w:color w:val="000000" w:themeColor="text1"/>
          <w14:textFill>
            <w14:solidFill>
              <w14:schemeClr w14:val="tx1"/>
            </w14:solidFill>
          </w14:textFill>
        </w:rPr>
        <w:t>o prazo para apresentação das razões recursais será iniciado na data de intimação ou de lavratura da ata de habilitação ou inabilitação;</w:t>
      </w:r>
    </w:p>
    <w:p>
      <w:pPr>
        <w:pStyle w:val="57"/>
        <w:numPr>
          <w:ilvl w:val="2"/>
          <w:numId w:val="1"/>
        </w:numPr>
        <w:spacing w:line="360" w:lineRule="auto"/>
        <w:ind w:left="567" w:firstLine="567"/>
        <w:rPr>
          <w:color w:val="000000" w:themeColor="text1"/>
          <w14:textFill>
            <w14:solidFill>
              <w14:schemeClr w14:val="tx1"/>
            </w14:solidFill>
          </w14:textFill>
        </w:rPr>
      </w:pPr>
      <w:r>
        <w:rPr>
          <w:color w:val="000000" w:themeColor="text1"/>
          <w14:textFill>
            <w14:solidFill>
              <w14:schemeClr w14:val="tx1"/>
            </w14:solidFill>
          </w14:textFill>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31"/>
        </w:rPr>
        <w:t>§ 1º do art. 17 da Lei nº 14.133, de 2021</w:t>
      </w:r>
      <w:r>
        <w:rPr>
          <w:rStyle w:val="31"/>
        </w:rPr>
        <w:fldChar w:fldCharType="end"/>
      </w:r>
      <w:r>
        <w:rPr>
          <w:color w:val="000000" w:themeColor="text1"/>
          <w14:textFill>
            <w14:solidFill>
              <w14:schemeClr w14:val="tx1"/>
            </w14:solidFill>
          </w14:textFill>
        </w:rPr>
        <w:t>, o prazo para apresentação das razões recursais será iniciado na data de intimação da ata de julgamento.</w:t>
      </w:r>
    </w:p>
    <w:p>
      <w:pPr>
        <w:pStyle w:val="66"/>
        <w:numPr>
          <w:ilvl w:val="1"/>
          <w:numId w:val="1"/>
        </w:numPr>
        <w:spacing w:before="288" w:after="288" w:line="312" w:lineRule="auto"/>
        <w:ind w:left="0" w:firstLine="567"/>
      </w:pPr>
      <w:r>
        <w:t>Os recursos deverão ser encaminhados em campo próprio do sistema.</w:t>
      </w:r>
    </w:p>
    <w:p>
      <w:pPr>
        <w:pStyle w:val="66"/>
        <w:numPr>
          <w:ilvl w:val="1"/>
          <w:numId w:val="1"/>
        </w:numPr>
        <w:spacing w:before="288" w:after="288" w:line="312" w:lineRule="auto"/>
        <w:ind w:left="0" w:firstLine="567"/>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66"/>
        <w:numPr>
          <w:ilvl w:val="1"/>
          <w:numId w:val="1"/>
        </w:numPr>
        <w:spacing w:before="288" w:after="288" w:line="312" w:lineRule="auto"/>
        <w:ind w:left="0" w:firstLine="567"/>
      </w:pPr>
      <w:r>
        <w:t xml:space="preserve">Os recursos interpostos fora do prazo não serão conhecidos. </w:t>
      </w:r>
    </w:p>
    <w:p>
      <w:pPr>
        <w:pStyle w:val="66"/>
        <w:numPr>
          <w:ilvl w:val="1"/>
          <w:numId w:val="1"/>
        </w:numPr>
        <w:spacing w:before="288" w:after="288" w:line="312" w:lineRule="auto"/>
        <w:ind w:left="0" w:firstLine="567"/>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66"/>
        <w:numPr>
          <w:ilvl w:val="1"/>
          <w:numId w:val="1"/>
        </w:numPr>
        <w:spacing w:before="288" w:after="288" w:line="312" w:lineRule="auto"/>
        <w:ind w:left="0" w:firstLine="567"/>
      </w:pPr>
      <w:r>
        <w:t xml:space="preserve">O recurso e o pedido de reconsideração terão efeito suspensivo do ato ou da decisão recorrida até que sobrevenha decisão final da autoridade competente. </w:t>
      </w:r>
    </w:p>
    <w:p>
      <w:pPr>
        <w:pStyle w:val="66"/>
        <w:numPr>
          <w:ilvl w:val="1"/>
          <w:numId w:val="1"/>
        </w:numPr>
        <w:spacing w:before="288" w:after="288" w:line="312" w:lineRule="auto"/>
        <w:ind w:left="0" w:firstLine="567"/>
      </w:pPr>
      <w:r>
        <w:t xml:space="preserve">O acolhimento do recurso invalida tão somente os atos insuscetíveis de aproveitamento. </w:t>
      </w:r>
    </w:p>
    <w:p>
      <w:pPr>
        <w:pStyle w:val="66"/>
        <w:numPr>
          <w:ilvl w:val="1"/>
          <w:numId w:val="1"/>
        </w:numPr>
        <w:spacing w:before="288" w:after="288" w:line="312" w:lineRule="auto"/>
        <w:ind w:left="0" w:firstLine="567"/>
      </w:pPr>
      <w:r>
        <w:t>Os autos do processo permanecerão com vista franqueada aos interessados, por meio do clique no nº do processo, constante também do endereço eletrônico &lt;</w:t>
      </w:r>
      <w:r>
        <w:fldChar w:fldCharType="begin"/>
      </w:r>
      <w:r>
        <w:instrText xml:space="preserve"> HYPERLINK "http://www.uff.br/licitacoes" \h </w:instrText>
      </w:r>
      <w:r>
        <w:fldChar w:fldCharType="separate"/>
      </w:r>
      <w:r>
        <w:t xml:space="preserve"> </w:t>
      </w:r>
      <w:r>
        <w:fldChar w:fldCharType="end"/>
      </w:r>
      <w:r>
        <w:fldChar w:fldCharType="begin"/>
      </w:r>
      <w:r>
        <w:instrText xml:space="preserve"> HYPERLINK "http://www.uff.br/licitacoes" \h </w:instrText>
      </w:r>
      <w:r>
        <w:fldChar w:fldCharType="separate"/>
      </w:r>
      <w:r>
        <w:t>www.uff.br/licitacoes</w:t>
      </w:r>
      <w:r>
        <w:fldChar w:fldCharType="end"/>
      </w:r>
      <w:r>
        <w:t>&gt;.</w:t>
      </w:r>
    </w:p>
    <w:p>
      <w:pPr>
        <w:pStyle w:val="66"/>
        <w:spacing w:before="288" w:after="288" w:line="312" w:lineRule="auto"/>
        <w:ind w:left="567"/>
      </w:pPr>
    </w:p>
    <w:p>
      <w:pPr>
        <w:pStyle w:val="43"/>
        <w:numPr>
          <w:ilvl w:val="0"/>
          <w:numId w:val="1"/>
        </w:numPr>
        <w:spacing w:before="288" w:after="288" w:line="312" w:lineRule="auto"/>
        <w:ind w:left="0" w:firstLine="0"/>
        <w:rPr>
          <w:highlight w:val="lightGray"/>
          <w:lang w:eastAsia="en-US"/>
        </w:rPr>
      </w:pPr>
      <w:bookmarkStart w:id="39" w:name="_Toc130201047"/>
      <w:r>
        <w:rPr>
          <w:highlight w:val="lightGray"/>
          <w:lang w:eastAsia="en-US"/>
        </w:rPr>
        <w:t>DAS INFRAÇÕES ADMINISTRATIVAS E SANÇÕES</w:t>
      </w:r>
      <w:bookmarkEnd w:id="39"/>
    </w:p>
    <w:p>
      <w:pPr>
        <w:pStyle w:val="66"/>
        <w:numPr>
          <w:ilvl w:val="1"/>
          <w:numId w:val="1"/>
        </w:numPr>
        <w:spacing w:before="288" w:after="288" w:line="312" w:lineRule="auto"/>
        <w:ind w:left="0" w:firstLine="567"/>
      </w:pPr>
      <w:r>
        <w:t xml:space="preserve">Comete infração administrativa, nos termos da lei, o licitante que, com dolo ou culpa: </w:t>
      </w:r>
    </w:p>
    <w:p>
      <w:pPr>
        <w:pStyle w:val="57"/>
        <w:numPr>
          <w:ilvl w:val="2"/>
          <w:numId w:val="1"/>
        </w:numPr>
        <w:spacing w:line="360" w:lineRule="auto"/>
        <w:ind w:left="567" w:firstLine="567"/>
      </w:pPr>
      <w:bookmarkStart w:id="40" w:name="_Ref114668085"/>
      <w:r>
        <w:t>deixar de entregar a documentação exigida para o certame ou não entregar qualquer documento que tenha sido solicitado pelo/a pregoeiro/a durante o certame;</w:t>
      </w:r>
      <w:bookmarkEnd w:id="40"/>
    </w:p>
    <w:p>
      <w:pPr>
        <w:pStyle w:val="57"/>
        <w:numPr>
          <w:ilvl w:val="2"/>
          <w:numId w:val="1"/>
        </w:numPr>
        <w:spacing w:line="360" w:lineRule="auto"/>
        <w:ind w:left="567" w:firstLine="567"/>
      </w:pPr>
      <w:bookmarkStart w:id="41" w:name="_Ref114668108"/>
      <w:r>
        <w:t>Salvo em decorrência de fato superveniente devidamente justificado, não mantiver a proposta em especial quando:</w:t>
      </w:r>
      <w:bookmarkEnd w:id="41"/>
    </w:p>
    <w:p>
      <w:pPr>
        <w:pStyle w:val="56"/>
        <w:numPr>
          <w:ilvl w:val="3"/>
          <w:numId w:val="1"/>
        </w:numPr>
        <w:spacing w:line="312" w:lineRule="auto"/>
        <w:ind w:left="1276" w:firstLine="284"/>
      </w:pPr>
      <w:r>
        <w:t xml:space="preserve">não enviar a proposta adequada ao último lance ofertado ou após a negociação; </w:t>
      </w:r>
    </w:p>
    <w:p>
      <w:pPr>
        <w:pStyle w:val="56"/>
        <w:numPr>
          <w:ilvl w:val="3"/>
          <w:numId w:val="1"/>
        </w:numPr>
        <w:spacing w:line="312" w:lineRule="auto"/>
        <w:ind w:left="1276" w:firstLine="284"/>
      </w:pPr>
      <w:r>
        <w:t xml:space="preserve">recusar-se a enviar o detalhamento da proposta quando exigível; </w:t>
      </w:r>
    </w:p>
    <w:p>
      <w:pPr>
        <w:pStyle w:val="56"/>
        <w:numPr>
          <w:ilvl w:val="3"/>
          <w:numId w:val="1"/>
        </w:numPr>
        <w:spacing w:line="312" w:lineRule="auto"/>
        <w:ind w:left="1276" w:firstLine="284"/>
      </w:pPr>
      <w:r>
        <w:t xml:space="preserve">pedir para ser desclassificado quando encerrada a etapa competitiva; ou </w:t>
      </w:r>
    </w:p>
    <w:p>
      <w:pPr>
        <w:pStyle w:val="56"/>
        <w:numPr>
          <w:ilvl w:val="3"/>
          <w:numId w:val="1"/>
        </w:numPr>
        <w:spacing w:line="312" w:lineRule="auto"/>
        <w:ind w:left="1276" w:firstLine="284"/>
      </w:pPr>
      <w:r>
        <w:t>deixar de apresentar amostra;</w:t>
      </w:r>
    </w:p>
    <w:p>
      <w:pPr>
        <w:pStyle w:val="56"/>
        <w:numPr>
          <w:ilvl w:val="3"/>
          <w:numId w:val="1"/>
        </w:numPr>
        <w:spacing w:line="312" w:lineRule="auto"/>
        <w:ind w:left="1276" w:firstLine="284"/>
      </w:pPr>
      <w:r>
        <w:t xml:space="preserve">apresentar proposta ou amostra em desacordo com as especificações do edital; </w:t>
      </w:r>
    </w:p>
    <w:p>
      <w:pPr>
        <w:pStyle w:val="57"/>
        <w:numPr>
          <w:ilvl w:val="2"/>
          <w:numId w:val="1"/>
        </w:numPr>
        <w:spacing w:before="288" w:after="288" w:line="312" w:lineRule="auto"/>
        <w:ind w:left="567" w:firstLine="567"/>
      </w:pPr>
      <w:bookmarkStart w:id="42" w:name="_Ref114668139"/>
      <w:r>
        <w:t>não celebrar o contrato ou não entregar a documentação exigida para a contratação, quando convocado dentro do prazo de validade de sua proposta;</w:t>
      </w:r>
      <w:bookmarkEnd w:id="42"/>
    </w:p>
    <w:p>
      <w:pPr>
        <w:pStyle w:val="56"/>
        <w:numPr>
          <w:ilvl w:val="3"/>
          <w:numId w:val="1"/>
        </w:numPr>
        <w:spacing w:before="288" w:after="288" w:line="312" w:lineRule="auto"/>
        <w:ind w:left="1276" w:firstLine="284"/>
      </w:pPr>
      <w:r>
        <w:t>recusar-se, sem justificativa, a assinar o contrato ou a ata de registro de preço, ou a aceitar ou retirar o instrumento equivalente no prazo estabelecido pela Administração;</w:t>
      </w:r>
    </w:p>
    <w:p>
      <w:pPr>
        <w:pStyle w:val="57"/>
        <w:numPr>
          <w:ilvl w:val="2"/>
          <w:numId w:val="1"/>
        </w:numPr>
        <w:spacing w:line="360" w:lineRule="auto"/>
        <w:ind w:left="567" w:firstLine="567"/>
      </w:pPr>
      <w:bookmarkStart w:id="43" w:name="_Ref114668249"/>
      <w:r>
        <w:t>apresentar declaração ou documentação falsa exigida para o certame ou prestar declaração falsa durante a licitação</w:t>
      </w:r>
      <w:bookmarkEnd w:id="43"/>
    </w:p>
    <w:p>
      <w:pPr>
        <w:pStyle w:val="57"/>
        <w:numPr>
          <w:ilvl w:val="2"/>
          <w:numId w:val="1"/>
        </w:numPr>
        <w:spacing w:line="360" w:lineRule="auto"/>
        <w:ind w:left="567" w:firstLine="567"/>
      </w:pPr>
      <w:bookmarkStart w:id="44" w:name="_Ref114668245"/>
      <w:r>
        <w:t>fraudar a licitação</w:t>
      </w:r>
      <w:bookmarkEnd w:id="44"/>
    </w:p>
    <w:p>
      <w:pPr>
        <w:pStyle w:val="57"/>
        <w:numPr>
          <w:ilvl w:val="2"/>
          <w:numId w:val="1"/>
        </w:numPr>
        <w:spacing w:line="360" w:lineRule="auto"/>
        <w:ind w:left="567" w:firstLine="567"/>
      </w:pPr>
      <w:bookmarkStart w:id="45" w:name="_Ref114668247"/>
      <w:r>
        <w:t>comportar-se de modo inidôneo ou cometer fraude de qualquer natureza, em especial quando:</w:t>
      </w:r>
      <w:bookmarkEnd w:id="45"/>
    </w:p>
    <w:p>
      <w:pPr>
        <w:pStyle w:val="56"/>
        <w:numPr>
          <w:ilvl w:val="3"/>
          <w:numId w:val="1"/>
        </w:numPr>
        <w:spacing w:line="312" w:lineRule="auto"/>
        <w:ind w:left="1276" w:firstLine="284"/>
      </w:pPr>
      <w:r>
        <w:t xml:space="preserve">agir em conluio ou em desconformidade com a lei; </w:t>
      </w:r>
    </w:p>
    <w:p>
      <w:pPr>
        <w:pStyle w:val="56"/>
        <w:numPr>
          <w:ilvl w:val="3"/>
          <w:numId w:val="1"/>
        </w:numPr>
        <w:spacing w:line="312" w:lineRule="auto"/>
        <w:ind w:left="1276" w:firstLine="284"/>
      </w:pPr>
      <w:r>
        <w:t xml:space="preserve">induzir deliberadamente a erro no julgamento; </w:t>
      </w:r>
    </w:p>
    <w:p>
      <w:pPr>
        <w:pStyle w:val="56"/>
        <w:numPr>
          <w:ilvl w:val="3"/>
          <w:numId w:val="1"/>
        </w:numPr>
        <w:spacing w:line="312" w:lineRule="auto"/>
        <w:ind w:left="1276" w:firstLine="284"/>
      </w:pPr>
      <w:r>
        <w:t xml:space="preserve">apresentar amostra falsificada ou deteriorada; </w:t>
      </w:r>
    </w:p>
    <w:p>
      <w:pPr>
        <w:pStyle w:val="57"/>
        <w:numPr>
          <w:ilvl w:val="2"/>
          <w:numId w:val="1"/>
        </w:numPr>
        <w:spacing w:line="360" w:lineRule="auto"/>
        <w:ind w:left="567" w:firstLine="567"/>
      </w:pPr>
      <w:bookmarkStart w:id="46" w:name="_Ref114668251"/>
      <w:r>
        <w:t>praticar atos ilícitos com vistas a frustrar os objetivos da licitação</w:t>
      </w:r>
      <w:bookmarkEnd w:id="46"/>
    </w:p>
    <w:p>
      <w:pPr>
        <w:pStyle w:val="57"/>
        <w:numPr>
          <w:ilvl w:val="2"/>
          <w:numId w:val="1"/>
        </w:numPr>
        <w:spacing w:line="360" w:lineRule="auto"/>
        <w:ind w:left="567" w:firstLine="567"/>
      </w:pPr>
      <w:bookmarkStart w:id="47" w:name="_Ref114668252"/>
      <w:r>
        <w:t xml:space="preserve">praticar ato lesivo previsto no </w:t>
      </w:r>
      <w:r>
        <w:fldChar w:fldCharType="begin"/>
      </w:r>
      <w:r>
        <w:instrText xml:space="preserve"> HYPERLINK "https://www.planalto.gov.br/ccivil_03/_ato2011-2014/2013/lei/l12846.htm" \l "art5" </w:instrText>
      </w:r>
      <w:r>
        <w:fldChar w:fldCharType="separate"/>
      </w:r>
      <w:r>
        <w:rPr>
          <w:rStyle w:val="31"/>
        </w:rPr>
        <w:t>art. 5º da Lei n.º 12.846, de 2013</w:t>
      </w:r>
      <w:r>
        <w:rPr>
          <w:rStyle w:val="31"/>
        </w:rPr>
        <w:fldChar w:fldCharType="end"/>
      </w:r>
      <w:r>
        <w:t>.</w:t>
      </w:r>
      <w:bookmarkEnd w:id="47"/>
      <w:bookmarkStart w:id="48" w:name="_Hlk114652595"/>
      <w:bookmarkEnd w:id="48"/>
    </w:p>
    <w:p>
      <w:pPr>
        <w:pStyle w:val="66"/>
        <w:numPr>
          <w:ilvl w:val="1"/>
          <w:numId w:val="1"/>
        </w:numPr>
        <w:spacing w:before="288" w:after="288" w:line="312" w:lineRule="auto"/>
        <w:ind w:left="0" w:firstLine="567"/>
      </w:pPr>
      <w:r>
        <w:t xml:space="preserve">Com fulcro na </w:t>
      </w:r>
      <w:r>
        <w:fldChar w:fldCharType="begin"/>
      </w:r>
      <w:r>
        <w:instrText xml:space="preserve"> HYPERLINK "http://www.planalto.gov.br/ccivil_03/_ato2019-2022/2021/lei/L14133.htm" \h </w:instrText>
      </w:r>
      <w:r>
        <w:fldChar w:fldCharType="separate"/>
      </w:r>
      <w:r>
        <w:rPr>
          <w:rStyle w:val="31"/>
        </w:rPr>
        <w:t>Lei nº 14.133, de 2021</w:t>
      </w:r>
      <w:r>
        <w:rPr>
          <w:rStyle w:val="31"/>
        </w:rPr>
        <w:fldChar w:fldCharType="end"/>
      </w:r>
      <w:r>
        <w:t xml:space="preserve">, a Administração poderá, garantida a prévia defesa, aplicar aos licitantes e/ou adjudicatários as seguintes sanções, sem prejuízo das responsabilidades civil e criminal: </w:t>
      </w:r>
    </w:p>
    <w:p>
      <w:pPr>
        <w:pStyle w:val="57"/>
        <w:numPr>
          <w:ilvl w:val="2"/>
          <w:numId w:val="1"/>
        </w:numPr>
        <w:spacing w:line="360" w:lineRule="auto"/>
        <w:ind w:left="567" w:firstLine="567"/>
      </w:pPr>
      <w:r>
        <w:t xml:space="preserve">advertência; </w:t>
      </w:r>
    </w:p>
    <w:p>
      <w:pPr>
        <w:pStyle w:val="57"/>
        <w:numPr>
          <w:ilvl w:val="2"/>
          <w:numId w:val="1"/>
        </w:numPr>
        <w:spacing w:line="360" w:lineRule="auto"/>
        <w:ind w:left="567" w:firstLine="567"/>
      </w:pPr>
      <w:r>
        <w:t>multa;</w:t>
      </w:r>
    </w:p>
    <w:p>
      <w:pPr>
        <w:pStyle w:val="57"/>
        <w:numPr>
          <w:ilvl w:val="2"/>
          <w:numId w:val="1"/>
        </w:numPr>
        <w:spacing w:line="360" w:lineRule="auto"/>
        <w:ind w:left="567" w:firstLine="567"/>
      </w:pPr>
      <w:r>
        <w:t>impedimento de licitar e contratar e</w:t>
      </w:r>
    </w:p>
    <w:p>
      <w:pPr>
        <w:pStyle w:val="57"/>
        <w:numPr>
          <w:ilvl w:val="2"/>
          <w:numId w:val="1"/>
        </w:numPr>
        <w:spacing w:line="360" w:lineRule="auto"/>
        <w:ind w:left="567" w:firstLine="567"/>
      </w:pPr>
      <w:r>
        <w:t>declaração de inidoneidade para licitar ou contratar, enquanto perdurarem os motivos determinantes da punição ou até que seja promovida sua reabilitação perante a própria autoridade que aplicou a penalidade.</w:t>
      </w:r>
    </w:p>
    <w:p>
      <w:pPr>
        <w:pStyle w:val="66"/>
        <w:numPr>
          <w:ilvl w:val="1"/>
          <w:numId w:val="1"/>
        </w:numPr>
        <w:spacing w:before="288" w:after="288" w:line="312" w:lineRule="auto"/>
        <w:ind w:left="0" w:firstLine="567"/>
      </w:pPr>
      <w:r>
        <w:t>Na aplicação das sanções serão considerados:</w:t>
      </w:r>
    </w:p>
    <w:p>
      <w:pPr>
        <w:pStyle w:val="57"/>
        <w:numPr>
          <w:ilvl w:val="2"/>
          <w:numId w:val="1"/>
        </w:numPr>
        <w:spacing w:line="360" w:lineRule="auto"/>
        <w:ind w:left="567" w:firstLine="567"/>
      </w:pPr>
      <w:r>
        <w:t>a natureza e a gravidade da infração cometida.</w:t>
      </w:r>
    </w:p>
    <w:p>
      <w:pPr>
        <w:pStyle w:val="57"/>
        <w:numPr>
          <w:ilvl w:val="2"/>
          <w:numId w:val="1"/>
        </w:numPr>
        <w:spacing w:line="360" w:lineRule="auto"/>
        <w:ind w:left="567" w:firstLine="567"/>
      </w:pPr>
      <w:r>
        <w:t>as peculiaridades do caso concreto</w:t>
      </w:r>
    </w:p>
    <w:p>
      <w:pPr>
        <w:pStyle w:val="57"/>
        <w:numPr>
          <w:ilvl w:val="2"/>
          <w:numId w:val="1"/>
        </w:numPr>
        <w:spacing w:line="360" w:lineRule="auto"/>
        <w:ind w:left="567" w:firstLine="567"/>
      </w:pPr>
      <w:r>
        <w:t>as circunstâncias agravantes ou atenuantes</w:t>
      </w:r>
    </w:p>
    <w:p>
      <w:pPr>
        <w:pStyle w:val="57"/>
        <w:numPr>
          <w:ilvl w:val="2"/>
          <w:numId w:val="1"/>
        </w:numPr>
        <w:spacing w:line="360" w:lineRule="auto"/>
        <w:ind w:left="567" w:firstLine="567"/>
      </w:pPr>
      <w:r>
        <w:t>os danos que dela provierem para a Administração Pública</w:t>
      </w:r>
    </w:p>
    <w:p>
      <w:pPr>
        <w:pStyle w:val="57"/>
        <w:numPr>
          <w:ilvl w:val="2"/>
          <w:numId w:val="1"/>
        </w:numPr>
        <w:spacing w:line="360" w:lineRule="auto"/>
        <w:ind w:left="567" w:firstLine="567"/>
      </w:pPr>
      <w:r>
        <w:t>a implantação ou o aperfeiçoamento de programa de integridade, conforme normas e orientações dos órgãos de controle.</w:t>
      </w:r>
    </w:p>
    <w:p>
      <w:pPr>
        <w:pStyle w:val="66"/>
        <w:numPr>
          <w:ilvl w:val="1"/>
          <w:numId w:val="1"/>
        </w:numPr>
        <w:spacing w:before="288" w:after="288" w:line="312" w:lineRule="auto"/>
        <w:ind w:left="0" w:firstLine="567"/>
        <w:rPr>
          <w:color w:val="auto"/>
        </w:rPr>
      </w:pPr>
      <w:r>
        <w:t xml:space="preserve">A multa será recolhida em percentual de 0,5% (meio por cento) incidente sobre o valor do contrato licitado, recolhida no prazo máximo </w:t>
      </w:r>
      <w:r>
        <w:rPr>
          <w:color w:val="auto"/>
        </w:rPr>
        <w:t xml:space="preserve">de </w:t>
      </w:r>
      <w:r>
        <w:rPr>
          <w:b/>
          <w:bCs/>
          <w:color w:val="auto"/>
        </w:rPr>
        <w:t>30 (trinta) dias</w:t>
      </w:r>
      <w:r>
        <w:rPr>
          <w:color w:val="auto"/>
        </w:rPr>
        <w:t xml:space="preserve"> </w:t>
      </w:r>
      <w:r>
        <w:t xml:space="preserve">úteis, a contar da </w:t>
      </w:r>
      <w:r>
        <w:rPr>
          <w:color w:val="auto"/>
        </w:rPr>
        <w:t xml:space="preserve">comunicação oficial. </w:t>
      </w:r>
    </w:p>
    <w:p>
      <w:pPr>
        <w:pStyle w:val="57"/>
        <w:numPr>
          <w:ilvl w:val="2"/>
          <w:numId w:val="1"/>
        </w:numPr>
        <w:spacing w:line="360" w:lineRule="auto"/>
        <w:ind w:left="567" w:firstLine="567"/>
        <w:rPr>
          <w:color w:val="auto"/>
        </w:rPr>
      </w:pPr>
      <w:r>
        <w:rPr>
          <w:color w:val="auto"/>
        </w:rPr>
        <w:t xml:space="preserve">Para as infrações previstas nos itens </w:t>
      </w:r>
      <w:r>
        <w:rPr>
          <w:color w:val="auto"/>
        </w:rPr>
        <w:fldChar w:fldCharType="begin"/>
      </w:r>
      <w:r>
        <w:rPr>
          <w:color w:val="auto"/>
        </w:rPr>
        <w:instrText xml:space="preserve">REF _Ref114668085 \r \h</w:instrText>
      </w:r>
      <w:r>
        <w:rPr>
          <w:color w:val="auto"/>
        </w:rPr>
        <w:fldChar w:fldCharType="separate"/>
      </w:r>
      <w:r>
        <w:rPr>
          <w:color w:val="auto"/>
        </w:rPr>
        <w:t>9.1.1</w:t>
      </w:r>
      <w:r>
        <w:rPr>
          <w:color w:val="auto"/>
        </w:rPr>
        <w:fldChar w:fldCharType="end"/>
      </w:r>
      <w:r>
        <w:rPr>
          <w:color w:val="auto"/>
        </w:rPr>
        <w:t xml:space="preserve">, </w:t>
      </w:r>
      <w:r>
        <w:rPr>
          <w:color w:val="auto"/>
        </w:rPr>
        <w:fldChar w:fldCharType="begin"/>
      </w:r>
      <w:r>
        <w:rPr>
          <w:color w:val="auto"/>
        </w:rPr>
        <w:instrText xml:space="preserve">REF _Ref114668108 \r \h</w:instrText>
      </w:r>
      <w:r>
        <w:rPr>
          <w:color w:val="auto"/>
        </w:rPr>
        <w:fldChar w:fldCharType="separate"/>
      </w:r>
      <w:r>
        <w:rPr>
          <w:color w:val="auto"/>
        </w:rPr>
        <w:t>9.1.2</w:t>
      </w:r>
      <w:r>
        <w:rPr>
          <w:color w:val="auto"/>
        </w:rPr>
        <w:fldChar w:fldCharType="end"/>
      </w:r>
      <w:r>
        <w:rPr>
          <w:color w:val="auto"/>
        </w:rPr>
        <w:t xml:space="preserve"> e </w:t>
      </w:r>
      <w:r>
        <w:rPr>
          <w:color w:val="auto"/>
        </w:rPr>
        <w:fldChar w:fldCharType="begin"/>
      </w:r>
      <w:r>
        <w:rPr>
          <w:color w:val="auto"/>
        </w:rPr>
        <w:instrText xml:space="preserve">REF _Ref114668139 \r \h</w:instrText>
      </w:r>
      <w:r>
        <w:rPr>
          <w:color w:val="auto"/>
        </w:rPr>
        <w:fldChar w:fldCharType="separate"/>
      </w:r>
      <w:r>
        <w:rPr>
          <w:color w:val="auto"/>
        </w:rPr>
        <w:t>9.1.3</w:t>
      </w:r>
      <w:r>
        <w:rPr>
          <w:color w:val="auto"/>
        </w:rPr>
        <w:fldChar w:fldCharType="end"/>
      </w:r>
      <w:r>
        <w:rPr>
          <w:color w:val="auto"/>
        </w:rPr>
        <w:t>, a multa será de 1% (um por cento) do valor do contrato licitado.</w:t>
      </w:r>
      <w:bookmarkStart w:id="49" w:name="_Hlk113876035"/>
      <w:bookmarkEnd w:id="49"/>
    </w:p>
    <w:p>
      <w:pPr>
        <w:pStyle w:val="57"/>
        <w:numPr>
          <w:ilvl w:val="2"/>
          <w:numId w:val="1"/>
        </w:numPr>
        <w:spacing w:line="360" w:lineRule="auto"/>
        <w:ind w:left="567" w:firstLine="567"/>
        <w:rPr>
          <w:color w:val="auto"/>
        </w:rPr>
      </w:pPr>
      <w:r>
        <w:rPr>
          <w:color w:val="auto"/>
        </w:rPr>
        <w:t xml:space="preserve">Para as infrações previstas nos itens </w:t>
      </w:r>
      <w:r>
        <w:rPr>
          <w:color w:val="auto"/>
        </w:rPr>
        <w:fldChar w:fldCharType="begin"/>
      </w:r>
      <w:r>
        <w:instrText xml:space="preserve">REF _Ref114668249 \r \h</w:instrText>
      </w:r>
      <w:r>
        <w:fldChar w:fldCharType="separate"/>
      </w:r>
      <w:r>
        <w:t>9.1.4</w:t>
      </w:r>
      <w:r>
        <w:fldChar w:fldCharType="end"/>
      </w:r>
      <w:r>
        <w:rPr>
          <w:color w:val="auto"/>
        </w:rPr>
        <w:t xml:space="preserve">, </w:t>
      </w:r>
      <w:r>
        <w:rPr>
          <w:color w:val="auto"/>
        </w:rPr>
        <w:fldChar w:fldCharType="begin"/>
      </w:r>
      <w:r>
        <w:instrText xml:space="preserve">REF _Ref114668245 \r \h</w:instrText>
      </w:r>
      <w:r>
        <w:fldChar w:fldCharType="separate"/>
      </w:r>
      <w:r>
        <w:t>9.1.5</w:t>
      </w:r>
      <w:r>
        <w:fldChar w:fldCharType="end"/>
      </w:r>
      <w:r>
        <w:rPr>
          <w:color w:val="auto"/>
        </w:rPr>
        <w:t xml:space="preserve">, </w:t>
      </w:r>
      <w:r>
        <w:rPr>
          <w:color w:val="auto"/>
        </w:rPr>
        <w:fldChar w:fldCharType="begin"/>
      </w:r>
      <w:r>
        <w:instrText xml:space="preserve">REF _Ref114668247 \r \h</w:instrText>
      </w:r>
      <w:r>
        <w:fldChar w:fldCharType="separate"/>
      </w:r>
      <w:r>
        <w:t>9.1.6</w:t>
      </w:r>
      <w:r>
        <w:fldChar w:fldCharType="end"/>
      </w:r>
      <w:r>
        <w:rPr>
          <w:color w:val="auto"/>
        </w:rPr>
        <w:t xml:space="preserve">, </w:t>
      </w:r>
      <w:r>
        <w:rPr>
          <w:color w:val="auto"/>
        </w:rPr>
        <w:fldChar w:fldCharType="begin"/>
      </w:r>
      <w:r>
        <w:instrText xml:space="preserve">REF _Ref114668251 \r \h</w:instrText>
      </w:r>
      <w:r>
        <w:fldChar w:fldCharType="separate"/>
      </w:r>
      <w:r>
        <w:t>9.1.7</w:t>
      </w:r>
      <w:r>
        <w:fldChar w:fldCharType="end"/>
      </w:r>
      <w:r>
        <w:rPr>
          <w:color w:val="auto"/>
        </w:rPr>
        <w:t xml:space="preserve"> e </w:t>
      </w:r>
      <w:r>
        <w:rPr>
          <w:color w:val="auto"/>
        </w:rPr>
        <w:fldChar w:fldCharType="begin"/>
      </w:r>
      <w:r>
        <w:instrText xml:space="preserve">REF _Ref114668252 \r \h</w:instrText>
      </w:r>
      <w:r>
        <w:fldChar w:fldCharType="separate"/>
      </w:r>
      <w:r>
        <w:t>9.1.8</w:t>
      </w:r>
      <w:r>
        <w:fldChar w:fldCharType="end"/>
      </w:r>
      <w:r>
        <w:rPr>
          <w:color w:val="auto"/>
        </w:rPr>
        <w:t>, a multa será de 5% (cinco por cento) do valor do contrato licitado.</w:t>
      </w:r>
    </w:p>
    <w:p>
      <w:pPr>
        <w:pStyle w:val="66"/>
        <w:numPr>
          <w:ilvl w:val="1"/>
          <w:numId w:val="1"/>
        </w:numPr>
        <w:spacing w:before="288" w:after="288" w:line="312" w:lineRule="auto"/>
        <w:ind w:left="0" w:firstLine="567"/>
      </w:pPr>
      <w:r>
        <w:t>As sanções de advertência, impedimento de licitar e contratar e declaração de inidoneidade para licitar ou contratar poderão ser aplicadas, cumulativamente ou não, à penalidade de multa.</w:t>
      </w:r>
    </w:p>
    <w:p>
      <w:pPr>
        <w:pStyle w:val="66"/>
        <w:numPr>
          <w:ilvl w:val="1"/>
          <w:numId w:val="1"/>
        </w:numPr>
        <w:spacing w:before="288" w:after="288" w:line="312" w:lineRule="auto"/>
        <w:ind w:left="0" w:firstLine="567"/>
      </w:pPr>
      <w:r>
        <w:t>Na aplicação da sanção de multa será facultada a defesa do interessado no prazo de 15 (quinze) dias úteis, contado da data de sua intimação.</w:t>
      </w:r>
    </w:p>
    <w:p>
      <w:pPr>
        <w:pStyle w:val="66"/>
        <w:numPr>
          <w:ilvl w:val="1"/>
          <w:numId w:val="1"/>
        </w:numPr>
        <w:spacing w:before="288" w:after="288" w:line="312" w:lineRule="auto"/>
        <w:ind w:left="0" w:firstLine="567"/>
      </w:pPr>
      <w:r>
        <w:t xml:space="preserve">A sanção de impedimento de licitar e contratar será aplicada ao responsável em decorrência das infrações administrativas </w:t>
      </w:r>
      <w:r>
        <w:rPr>
          <w:color w:val="auto"/>
        </w:rPr>
        <w:t xml:space="preserve">relacionadas nos itens </w:t>
      </w:r>
      <w:r>
        <w:rPr>
          <w:color w:val="auto"/>
        </w:rPr>
        <w:fldChar w:fldCharType="begin"/>
      </w:r>
      <w:r>
        <w:instrText xml:space="preserve">REF _Ref114668085 \r \h</w:instrText>
      </w:r>
      <w:r>
        <w:fldChar w:fldCharType="separate"/>
      </w:r>
      <w:r>
        <w:t>9.1.1</w:t>
      </w:r>
      <w:r>
        <w:fldChar w:fldCharType="end"/>
      </w:r>
      <w:r>
        <w:rPr>
          <w:color w:val="auto"/>
        </w:rPr>
        <w:t xml:space="preserve">, </w:t>
      </w:r>
      <w:r>
        <w:rPr>
          <w:color w:val="auto"/>
        </w:rPr>
        <w:fldChar w:fldCharType="begin"/>
      </w:r>
      <w:r>
        <w:instrText xml:space="preserve">REF _Ref114668108 \r \h</w:instrText>
      </w:r>
      <w:r>
        <w:fldChar w:fldCharType="separate"/>
      </w:r>
      <w:r>
        <w:t>9.1.2</w:t>
      </w:r>
      <w:r>
        <w:fldChar w:fldCharType="end"/>
      </w:r>
      <w:r>
        <w:rPr>
          <w:color w:val="auto"/>
        </w:rPr>
        <w:t xml:space="preserve"> e </w:t>
      </w:r>
      <w:r>
        <w:rPr>
          <w:color w:val="auto"/>
        </w:rPr>
        <w:fldChar w:fldCharType="begin"/>
      </w:r>
      <w:r>
        <w:instrText xml:space="preserve">REF _Ref114668139 \r \h</w:instrText>
      </w:r>
      <w:r>
        <w:fldChar w:fldCharType="separate"/>
      </w:r>
      <w:r>
        <w:t>9.1.3</w:t>
      </w:r>
      <w:r>
        <w:fldChar w:fldCharType="end"/>
      </w:r>
      <w: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66"/>
        <w:numPr>
          <w:ilvl w:val="1"/>
          <w:numId w:val="1"/>
        </w:numPr>
        <w:spacing w:before="288" w:after="288" w:line="312" w:lineRule="auto"/>
        <w:ind w:left="0" w:firstLine="567"/>
      </w:pPr>
      <w:r>
        <w:t xml:space="preserve">Poderá ser aplicada ao responsável a sanção de declaração de inidoneidade para licitar ou contratar, em decorrência da prática das infrações dispostas nos </w:t>
      </w:r>
      <w:r>
        <w:rPr>
          <w:color w:val="auto"/>
        </w:rPr>
        <w:t xml:space="preserve">itens </w:t>
      </w:r>
      <w:r>
        <w:rPr>
          <w:color w:val="auto"/>
        </w:rPr>
        <w:fldChar w:fldCharType="begin"/>
      </w:r>
      <w:r>
        <w:instrText xml:space="preserve">REF _Ref114668249 \r \h</w:instrText>
      </w:r>
      <w:r>
        <w:fldChar w:fldCharType="separate"/>
      </w:r>
      <w:r>
        <w:t>9.1.4</w:t>
      </w:r>
      <w:r>
        <w:fldChar w:fldCharType="end"/>
      </w:r>
      <w:r>
        <w:rPr>
          <w:color w:val="auto"/>
        </w:rPr>
        <w:t xml:space="preserve">, </w:t>
      </w:r>
      <w:r>
        <w:rPr>
          <w:color w:val="auto"/>
        </w:rPr>
        <w:fldChar w:fldCharType="begin"/>
      </w:r>
      <w:r>
        <w:instrText xml:space="preserve">REF _Ref114668245 \r \h</w:instrText>
      </w:r>
      <w:r>
        <w:fldChar w:fldCharType="separate"/>
      </w:r>
      <w:r>
        <w:t>9.1.5</w:t>
      </w:r>
      <w:r>
        <w:fldChar w:fldCharType="end"/>
      </w:r>
      <w:r>
        <w:rPr>
          <w:color w:val="auto"/>
        </w:rPr>
        <w:t xml:space="preserve">, </w:t>
      </w:r>
      <w:r>
        <w:rPr>
          <w:color w:val="auto"/>
        </w:rPr>
        <w:fldChar w:fldCharType="begin"/>
      </w:r>
      <w:r>
        <w:instrText xml:space="preserve">REF _Ref114668247 \r \h</w:instrText>
      </w:r>
      <w:r>
        <w:fldChar w:fldCharType="separate"/>
      </w:r>
      <w:r>
        <w:t>9.1.6</w:t>
      </w:r>
      <w:r>
        <w:fldChar w:fldCharType="end"/>
      </w:r>
      <w:r>
        <w:rPr>
          <w:color w:val="auto"/>
        </w:rPr>
        <w:t xml:space="preserve">, </w:t>
      </w:r>
      <w:r>
        <w:rPr>
          <w:color w:val="auto"/>
        </w:rPr>
        <w:fldChar w:fldCharType="begin"/>
      </w:r>
      <w:r>
        <w:instrText xml:space="preserve">REF _Ref114668251 \r \h</w:instrText>
      </w:r>
      <w:r>
        <w:fldChar w:fldCharType="separate"/>
      </w:r>
      <w:r>
        <w:t>9.1.7</w:t>
      </w:r>
      <w:r>
        <w:fldChar w:fldCharType="end"/>
      </w:r>
      <w:r>
        <w:rPr>
          <w:color w:val="auto"/>
        </w:rPr>
        <w:t xml:space="preserve"> e </w:t>
      </w:r>
      <w:r>
        <w:rPr>
          <w:color w:val="auto"/>
        </w:rPr>
        <w:fldChar w:fldCharType="begin"/>
      </w:r>
      <w:r>
        <w:instrText xml:space="preserve">REF _Ref114668252 \r \h</w:instrText>
      </w:r>
      <w:r>
        <w:fldChar w:fldCharType="separate"/>
      </w:r>
      <w:r>
        <w:t>9.1.8</w:t>
      </w:r>
      <w:r>
        <w:fldChar w:fldCharType="end"/>
      </w:r>
      <w:r>
        <w:t xml:space="preserve">, </w:t>
      </w:r>
      <w:r>
        <w:rPr>
          <w:color w:val="auto"/>
        </w:rPr>
        <w:t xml:space="preserve">bem como pelas infrações administrativas previstas nos itens </w:t>
      </w:r>
      <w:r>
        <w:rPr>
          <w:color w:val="auto"/>
        </w:rPr>
        <w:fldChar w:fldCharType="begin"/>
      </w:r>
      <w:r>
        <w:instrText xml:space="preserve">REF _Ref114668085 \r \h</w:instrText>
      </w:r>
      <w:r>
        <w:fldChar w:fldCharType="separate"/>
      </w:r>
      <w:r>
        <w:t>9.1.1</w:t>
      </w:r>
      <w:r>
        <w:fldChar w:fldCharType="end"/>
      </w:r>
      <w:r>
        <w:rPr>
          <w:color w:val="auto"/>
        </w:rPr>
        <w:t xml:space="preserve">, </w:t>
      </w:r>
      <w:r>
        <w:rPr>
          <w:color w:val="auto"/>
        </w:rPr>
        <w:fldChar w:fldCharType="begin"/>
      </w:r>
      <w:r>
        <w:instrText xml:space="preserve">REF _Ref114668108 \r \h</w:instrText>
      </w:r>
      <w:r>
        <w:fldChar w:fldCharType="separate"/>
      </w:r>
      <w:r>
        <w:t>9.1.2</w:t>
      </w:r>
      <w:r>
        <w:fldChar w:fldCharType="end"/>
      </w:r>
      <w:r>
        <w:rPr>
          <w:color w:val="auto"/>
        </w:rPr>
        <w:t xml:space="preserve"> e </w:t>
      </w:r>
      <w:r>
        <w:rPr>
          <w:color w:val="auto"/>
        </w:rPr>
        <w:fldChar w:fldCharType="begin"/>
      </w:r>
      <w:r>
        <w:instrText xml:space="preserve">REF _Ref114668139 \r \h</w:instrText>
      </w:r>
      <w:r>
        <w:fldChar w:fldCharType="separate"/>
      </w:r>
      <w:r>
        <w:t>9.1.3</w:t>
      </w:r>
      <w:r>
        <w:fldChar w:fldCharType="end"/>
      </w:r>
      <w:r>
        <w:rPr>
          <w:color w:val="auto"/>
        </w:rPr>
        <w:t xml:space="preserve"> </w:t>
      </w:r>
      <w:r>
        <w:t xml:space="preserve">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31"/>
        </w:rPr>
        <w:t>art. 156, §5º, da Lei n.º 14.133/2021</w:t>
      </w:r>
      <w:r>
        <w:rPr>
          <w:rStyle w:val="31"/>
        </w:rPr>
        <w:fldChar w:fldCharType="end"/>
      </w:r>
      <w:r>
        <w:t>.</w:t>
      </w:r>
    </w:p>
    <w:p>
      <w:pPr>
        <w:pStyle w:val="66"/>
        <w:numPr>
          <w:ilvl w:val="1"/>
          <w:numId w:val="1"/>
        </w:numPr>
        <w:spacing w:before="288" w:after="288" w:line="312" w:lineRule="auto"/>
        <w:ind w:left="0" w:firstLine="567"/>
      </w:pPr>
      <w: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REF _Ref114668139 \r \h</w:instrText>
      </w:r>
      <w:r>
        <w:fldChar w:fldCharType="separate"/>
      </w:r>
      <w:r>
        <w:t>9.1.3</w:t>
      </w:r>
      <w:r>
        <w:fldChar w:fldCharType="end"/>
      </w:r>
      <w: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\h </w:instrText>
      </w:r>
      <w:r>
        <w:fldChar w:fldCharType="separate"/>
      </w:r>
      <w:r>
        <w:rPr>
          <w:rStyle w:val="31"/>
        </w:rPr>
        <w:t>art. 45, §4º da IN SEGES/ME n.º 73, de 2022</w:t>
      </w:r>
      <w:r>
        <w:rPr>
          <w:rStyle w:val="31"/>
        </w:rPr>
        <w:fldChar w:fldCharType="end"/>
      </w:r>
      <w:r>
        <w:t xml:space="preserve">. </w:t>
      </w:r>
    </w:p>
    <w:p>
      <w:pPr>
        <w:pStyle w:val="66"/>
        <w:numPr>
          <w:ilvl w:val="1"/>
          <w:numId w:val="1"/>
        </w:numPr>
        <w:spacing w:before="288" w:after="288" w:line="312" w:lineRule="auto"/>
        <w:ind w:left="0" w:firstLine="567"/>
      </w:pPr>
      <w: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66"/>
        <w:numPr>
          <w:ilvl w:val="1"/>
          <w:numId w:val="1"/>
        </w:numPr>
        <w:spacing w:before="288" w:after="288" w:line="312" w:lineRule="auto"/>
        <w:ind w:left="0" w:firstLine="567"/>
      </w:pPr>
      <w: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66"/>
        <w:numPr>
          <w:ilvl w:val="1"/>
          <w:numId w:val="1"/>
        </w:numPr>
        <w:spacing w:before="288" w:after="288" w:line="312" w:lineRule="auto"/>
        <w:ind w:left="0" w:firstLine="567"/>
      </w:pPr>
      <w: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66"/>
        <w:numPr>
          <w:ilvl w:val="1"/>
          <w:numId w:val="1"/>
        </w:numPr>
        <w:spacing w:before="288" w:after="288" w:line="312" w:lineRule="auto"/>
        <w:ind w:left="0" w:firstLine="567"/>
      </w:pPr>
      <w:r>
        <w:t>O recurso e o pedido de reconsideração terão efeito suspensivo do ato ou da decisão recorrida até que sobrevenha decisão final da autoridade competente.</w:t>
      </w:r>
    </w:p>
    <w:p>
      <w:pPr>
        <w:pStyle w:val="66"/>
        <w:numPr>
          <w:ilvl w:val="1"/>
          <w:numId w:val="1"/>
        </w:numPr>
        <w:spacing w:before="288" w:after="288" w:line="312" w:lineRule="auto"/>
        <w:ind w:left="0" w:firstLine="567"/>
      </w:pPr>
      <w:r>
        <w:t>A aplicação das sanções previstas neste edital não exclui, em hipótese alguma, a obrigação de reparação integral dos danos causados.</w:t>
      </w:r>
    </w:p>
    <w:p>
      <w:pPr>
        <w:pStyle w:val="66"/>
        <w:spacing w:before="288" w:after="288" w:line="312" w:lineRule="auto"/>
        <w:ind w:left="567"/>
      </w:pPr>
    </w:p>
    <w:p>
      <w:pPr>
        <w:pStyle w:val="43"/>
        <w:numPr>
          <w:ilvl w:val="0"/>
          <w:numId w:val="1"/>
        </w:numPr>
        <w:spacing w:before="288" w:after="288" w:line="312" w:lineRule="auto"/>
        <w:ind w:left="0" w:firstLine="0"/>
        <w:rPr>
          <w:highlight w:val="lightGray"/>
          <w:lang w:eastAsia="en-US"/>
        </w:rPr>
      </w:pPr>
      <w:bookmarkStart w:id="50" w:name="_Toc130201048"/>
      <w:r>
        <w:rPr>
          <w:highlight w:val="lightGray"/>
          <w:lang w:eastAsia="en-US"/>
        </w:rPr>
        <w:t>DA IMPUGNAÇÃO AO EDITAL E DO PEDIDO DE ESCLARECIMENTO</w:t>
      </w:r>
      <w:bookmarkEnd w:id="50"/>
    </w:p>
    <w:p>
      <w:pPr>
        <w:pStyle w:val="66"/>
        <w:numPr>
          <w:ilvl w:val="1"/>
          <w:numId w:val="1"/>
        </w:numPr>
        <w:spacing w:before="288" w:after="288" w:line="312" w:lineRule="auto"/>
        <w:ind w:left="0" w:firstLine="567"/>
      </w:pPr>
      <w: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31"/>
        </w:rPr>
        <w:t>Lei nº 14.133, de 2021</w:t>
      </w:r>
      <w:r>
        <w:rPr>
          <w:rStyle w:val="31"/>
        </w:rPr>
        <w:fldChar w:fldCharType="end"/>
      </w:r>
      <w:r>
        <w:t>, devendo protocolar o pedido até 3 (três) dias úteis antes da data da abertura do certame.</w:t>
      </w:r>
    </w:p>
    <w:p>
      <w:pPr>
        <w:pStyle w:val="66"/>
        <w:numPr>
          <w:ilvl w:val="1"/>
          <w:numId w:val="1"/>
        </w:numPr>
        <w:spacing w:before="288" w:after="288" w:line="312" w:lineRule="auto"/>
        <w:ind w:left="0" w:firstLine="567"/>
      </w:pPr>
      <w:r>
        <w:t>A resposta à impugnação ou ao pedido de esclarecimento será divulgado em sítio eletrônico oficial no prazo de até 3 (três) dias úteis, limitado ao último dia útil anterior à data da abertura do certame.</w:t>
      </w:r>
    </w:p>
    <w:p>
      <w:pPr>
        <w:pStyle w:val="66"/>
        <w:numPr>
          <w:ilvl w:val="1"/>
          <w:numId w:val="1"/>
        </w:numPr>
        <w:spacing w:before="288" w:after="288" w:line="312" w:lineRule="auto"/>
        <w:ind w:left="0" w:firstLine="567"/>
      </w:pPr>
      <w:r>
        <w:t xml:space="preserve">A impugnação e o pedido de esclarecimento poderão ser realizados por forma eletrônica, pelo e-mail </w:t>
      </w:r>
      <w:r>
        <w:fldChar w:fldCharType="begin"/>
      </w:r>
      <w:r>
        <w:instrText xml:space="preserve"> HYPERLINK "mailto:cpl@id.uff.br" </w:instrText>
      </w:r>
      <w:r>
        <w:fldChar w:fldCharType="separate"/>
      </w:r>
      <w:r>
        <w:rPr>
          <w:rStyle w:val="13"/>
          <w:b/>
        </w:rPr>
        <w:t>cpl@id.uff.br</w:t>
      </w:r>
      <w:r>
        <w:rPr>
          <w:rStyle w:val="13"/>
          <w:b/>
        </w:rPr>
        <w:fldChar w:fldCharType="end"/>
      </w:r>
      <w:r>
        <w:rPr>
          <w:rStyle w:val="13"/>
          <w:b/>
        </w:rPr>
        <w:t>.</w:t>
      </w:r>
    </w:p>
    <w:p>
      <w:pPr>
        <w:pStyle w:val="66"/>
        <w:numPr>
          <w:ilvl w:val="1"/>
          <w:numId w:val="1"/>
        </w:numPr>
        <w:spacing w:line="360" w:lineRule="auto"/>
        <w:ind w:left="0" w:firstLine="567"/>
      </w:pPr>
      <w:r>
        <w:t>As impugnações e pedidos de esclarecimentos não suspendem os prazos previstos no certame.</w:t>
      </w:r>
    </w:p>
    <w:p>
      <w:pPr>
        <w:pStyle w:val="57"/>
        <w:numPr>
          <w:ilvl w:val="2"/>
          <w:numId w:val="1"/>
        </w:numPr>
        <w:spacing w:line="360" w:lineRule="auto"/>
        <w:ind w:left="567" w:firstLine="567"/>
      </w:pPr>
      <w:r>
        <w:t>A concessão de efeito suspensivo à impugnação é medida excepcional e deverá ser motivada pelo agente de contratação, nos autos do processo de licitação.</w:t>
      </w:r>
    </w:p>
    <w:p>
      <w:pPr>
        <w:pStyle w:val="66"/>
        <w:numPr>
          <w:ilvl w:val="1"/>
          <w:numId w:val="1"/>
        </w:numPr>
        <w:spacing w:before="288" w:after="288" w:line="312" w:lineRule="auto"/>
        <w:ind w:left="0" w:firstLine="567"/>
      </w:pPr>
      <w:r>
        <w:t>Acolhida a impugnação, será definida e publicada nova data para a realização do certame.</w:t>
      </w:r>
    </w:p>
    <w:p>
      <w:pPr>
        <w:pStyle w:val="66"/>
        <w:spacing w:before="288" w:after="288" w:line="312" w:lineRule="auto"/>
        <w:ind w:left="567"/>
      </w:pPr>
    </w:p>
    <w:p>
      <w:pPr>
        <w:pStyle w:val="43"/>
        <w:numPr>
          <w:ilvl w:val="0"/>
          <w:numId w:val="1"/>
        </w:numPr>
        <w:spacing w:before="288" w:after="288" w:line="312" w:lineRule="auto"/>
        <w:ind w:left="0" w:firstLine="0"/>
        <w:rPr>
          <w:highlight w:val="lightGray"/>
          <w:lang w:eastAsia="en-US"/>
        </w:rPr>
      </w:pPr>
      <w:bookmarkStart w:id="51" w:name="_Toc130201049"/>
      <w:r>
        <w:rPr>
          <w:highlight w:val="lightGray"/>
          <w:lang w:eastAsia="en-US"/>
        </w:rPr>
        <w:t>DAS DISPOSIÇÕES GERAIS</w:t>
      </w:r>
      <w:bookmarkEnd w:id="51"/>
    </w:p>
    <w:p>
      <w:pPr>
        <w:pStyle w:val="66"/>
        <w:numPr>
          <w:ilvl w:val="1"/>
          <w:numId w:val="1"/>
        </w:numPr>
        <w:spacing w:before="288" w:after="288" w:line="312" w:lineRule="auto"/>
        <w:ind w:left="0" w:firstLine="567"/>
      </w:pPr>
      <w:r>
        <w:t>Será divulgada ata da sessão pública no sistema eletrônico.</w:t>
      </w:r>
    </w:p>
    <w:p>
      <w:pPr>
        <w:pStyle w:val="66"/>
        <w:numPr>
          <w:ilvl w:val="1"/>
          <w:numId w:val="1"/>
        </w:numPr>
        <w:spacing w:before="288" w:after="288" w:line="312" w:lineRule="auto"/>
        <w:ind w:left="0" w:firstLine="567"/>
        <w:rPr>
          <w:rFonts w:eastAsia="Times New Roman"/>
        </w:rPr>
      </w:pPr>
      <w: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66"/>
        <w:numPr>
          <w:ilvl w:val="1"/>
          <w:numId w:val="1"/>
        </w:numPr>
        <w:spacing w:before="288" w:after="288" w:line="312" w:lineRule="auto"/>
        <w:ind w:left="0" w:firstLine="567"/>
        <w:rPr>
          <w:rFonts w:eastAsia="Times New Roman"/>
        </w:rPr>
      </w:pPr>
      <w:r>
        <w:t>Todas as referências de tempo no Edital, no aviso e durante a sessão pública observarão o horário de Brasília - DF.</w:t>
      </w:r>
    </w:p>
    <w:p>
      <w:pPr>
        <w:pStyle w:val="66"/>
        <w:numPr>
          <w:ilvl w:val="1"/>
          <w:numId w:val="1"/>
        </w:numPr>
        <w:spacing w:before="288" w:after="288" w:line="312" w:lineRule="auto"/>
        <w:ind w:left="0" w:firstLine="567"/>
        <w:rPr>
          <w:rFonts w:eastAsia="Times New Roman"/>
        </w:rPr>
      </w:pPr>
      <w:r>
        <w:t>A homologação do resultado desta licitação não implicará direito à contratação.</w:t>
      </w:r>
    </w:p>
    <w:p>
      <w:pPr>
        <w:pStyle w:val="66"/>
        <w:numPr>
          <w:ilvl w:val="1"/>
          <w:numId w:val="1"/>
        </w:numPr>
        <w:spacing w:before="288" w:after="288" w:line="312" w:lineRule="auto"/>
        <w:ind w:left="0" w:firstLine="567"/>
        <w:rPr>
          <w:rFonts w:eastAsia="Times New Roman"/>
        </w:rPr>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66"/>
        <w:numPr>
          <w:ilvl w:val="1"/>
          <w:numId w:val="1"/>
        </w:numPr>
        <w:spacing w:before="288" w:after="288" w:line="312" w:lineRule="auto"/>
        <w:ind w:left="0" w:firstLine="567"/>
        <w:rPr>
          <w:rFonts w:eastAsia="Times New Roman"/>
        </w:rPr>
      </w:pPr>
      <w:r>
        <w:t>Os licitantes assumem todos os custos de preparação e apresentação de suas propostas e a Administração não será, em nenhum caso, responsável por esses custos, independentemente da condução ou do resultado do processo licitatório.</w:t>
      </w:r>
    </w:p>
    <w:p>
      <w:pPr>
        <w:pStyle w:val="66"/>
        <w:numPr>
          <w:ilvl w:val="1"/>
          <w:numId w:val="1"/>
        </w:numPr>
        <w:spacing w:before="288" w:after="288" w:line="312" w:lineRule="auto"/>
        <w:ind w:left="0" w:firstLine="567"/>
        <w:rPr>
          <w:rFonts w:eastAsia="Times New Roman"/>
        </w:rPr>
      </w:pPr>
      <w:r>
        <w:t>Na contagem dos prazos estabelecidos neste Edital e seus Anexos, excluir-se-á o dia do início e incluir-se-á o do vencimento. Só se iniciam e vencem os prazos em dias de expediente na Administração.</w:t>
      </w:r>
    </w:p>
    <w:p>
      <w:pPr>
        <w:pStyle w:val="66"/>
        <w:numPr>
          <w:ilvl w:val="1"/>
          <w:numId w:val="1"/>
        </w:numPr>
        <w:spacing w:before="288" w:after="288" w:line="312" w:lineRule="auto"/>
        <w:ind w:left="0" w:firstLine="567"/>
        <w:rPr>
          <w:rFonts w:eastAsia="Times New Roman"/>
        </w:rPr>
      </w:pPr>
      <w:r>
        <w:t>O desatendimento de exigências formais não essenciais não importará o afastamento do licitante, desde que seja possível o aproveitamento do ato, observados os princípios da isonomia e do interesse público.</w:t>
      </w:r>
    </w:p>
    <w:p>
      <w:pPr>
        <w:pStyle w:val="66"/>
        <w:numPr>
          <w:ilvl w:val="1"/>
          <w:numId w:val="1"/>
        </w:numPr>
        <w:spacing w:before="288" w:after="288" w:line="312" w:lineRule="auto"/>
        <w:ind w:left="0" w:firstLine="567"/>
        <w:rPr>
          <w:rFonts w:eastAsia="Times New Roman"/>
        </w:rPr>
      </w:pPr>
      <w:r>
        <w:t>Em caso de divergência entre disposições deste Edital e de seus anexos ou demais peças que compõem o processo, prevalecerá as deste Edital.</w:t>
      </w:r>
    </w:p>
    <w:p>
      <w:pPr>
        <w:pStyle w:val="66"/>
        <w:numPr>
          <w:ilvl w:val="1"/>
          <w:numId w:val="1"/>
        </w:numPr>
        <w:spacing w:before="288" w:after="288" w:line="312" w:lineRule="auto"/>
        <w:ind w:left="0" w:firstLine="567"/>
        <w:rPr>
          <w:rFonts w:eastAsia="Times New Roman"/>
        </w:rPr>
      </w:pPr>
      <w:r>
        <w:t xml:space="preserve">O Edital e seus anexos </w:t>
      </w:r>
      <w:r>
        <w:rPr>
          <w:color w:val="auto"/>
        </w:rPr>
        <w:t xml:space="preserve">estão disponíveis, na íntegra, no Portal Nacional de Contratações Públicas (PNCP) e </w:t>
      </w:r>
      <w:r>
        <w:t xml:space="preserve">endereço eletrônico </w:t>
      </w:r>
      <w:r>
        <w:fldChar w:fldCharType="begin"/>
      </w:r>
      <w:r>
        <w:instrText xml:space="preserve"> HYPERLINK "http://www.uff.br/licitacoes" \h </w:instrText>
      </w:r>
      <w:r>
        <w:fldChar w:fldCharType="separate"/>
      </w:r>
      <w:r>
        <w:t>www.uff.br/licitacoes</w:t>
      </w:r>
      <w:r>
        <w:fldChar w:fldCharType="end"/>
      </w:r>
      <w:r>
        <w:t>. Os autos do processo administrativo são digitais e podem ser consultados, por qualquer interessado, por meio do clique no nº do processo, constante também do endereço eletrônico &lt;</w:t>
      </w:r>
      <w:r>
        <w:fldChar w:fldCharType="begin"/>
      </w:r>
      <w:r>
        <w:instrText xml:space="preserve"> HYPERLINK "http://www.uff.br/licitacoes" \h </w:instrText>
      </w:r>
      <w:r>
        <w:fldChar w:fldCharType="separate"/>
      </w:r>
      <w:r>
        <w:t xml:space="preserve"> </w:t>
      </w:r>
      <w:r>
        <w:fldChar w:fldCharType="end"/>
      </w:r>
      <w:r>
        <w:fldChar w:fldCharType="begin"/>
      </w:r>
      <w:r>
        <w:instrText xml:space="preserve"> HYPERLINK "http://www.uff.br/licitacoes" \h </w:instrText>
      </w:r>
      <w:r>
        <w:fldChar w:fldCharType="separate"/>
      </w:r>
      <w:r>
        <w:t>www.uff.br/licitacoes</w:t>
      </w:r>
      <w:r>
        <w:fldChar w:fldCharType="end"/>
      </w:r>
      <w:r>
        <w:t xml:space="preserve"> &gt; </w:t>
      </w:r>
    </w:p>
    <w:p>
      <w:pPr>
        <w:pStyle w:val="66"/>
        <w:numPr>
          <w:ilvl w:val="1"/>
          <w:numId w:val="1"/>
        </w:numPr>
        <w:spacing w:line="360" w:lineRule="auto"/>
        <w:ind w:left="0" w:firstLine="567"/>
        <w:rPr>
          <w:rFonts w:eastAsia="Times New Roman"/>
        </w:rPr>
      </w:pPr>
      <w:r>
        <w:t>Integram este Edital, para todos os fins e efeitos, os seguintes anexos:</w:t>
      </w:r>
    </w:p>
    <w:p>
      <w:pPr>
        <w:pStyle w:val="57"/>
        <w:numPr>
          <w:ilvl w:val="2"/>
          <w:numId w:val="1"/>
        </w:numPr>
        <w:spacing w:line="240" w:lineRule="auto"/>
        <w:ind w:left="567" w:firstLine="567"/>
      </w:pPr>
      <w:r>
        <w:rPr>
          <w:b/>
          <w:bCs/>
        </w:rPr>
        <w:t>ANEXO I</w:t>
      </w:r>
      <w:r>
        <w:t xml:space="preserve"> - Termo de Referência</w:t>
      </w:r>
    </w:p>
    <w:p>
      <w:pPr>
        <w:pStyle w:val="56"/>
        <w:numPr>
          <w:ilvl w:val="3"/>
          <w:numId w:val="1"/>
        </w:numPr>
        <w:spacing w:line="240" w:lineRule="auto"/>
        <w:ind w:left="1276" w:firstLine="284"/>
      </w:pPr>
      <w:r>
        <w:rPr>
          <w:b/>
          <w:bCs/>
        </w:rPr>
        <w:t>Anexo I-A</w:t>
      </w:r>
      <w:r>
        <w:t xml:space="preserve"> - Estudo Técnico Preliminar</w:t>
      </w:r>
    </w:p>
    <w:p>
      <w:pPr>
        <w:pStyle w:val="57"/>
        <w:numPr>
          <w:ilvl w:val="2"/>
          <w:numId w:val="1"/>
        </w:numPr>
        <w:spacing w:line="240" w:lineRule="auto"/>
        <w:ind w:left="567" w:firstLine="567"/>
      </w:pPr>
      <w:r>
        <w:rPr>
          <w:b/>
          <w:bCs/>
        </w:rPr>
        <w:t>ANEXO II</w:t>
      </w:r>
      <w:r>
        <w:t xml:space="preserve"> – Planilha de Formação de Custos; </w:t>
      </w:r>
    </w:p>
    <w:p>
      <w:pPr>
        <w:pStyle w:val="57"/>
        <w:numPr>
          <w:ilvl w:val="2"/>
          <w:numId w:val="1"/>
        </w:numPr>
        <w:spacing w:line="240" w:lineRule="auto"/>
        <w:ind w:left="567" w:firstLine="567"/>
      </w:pPr>
      <w:r>
        <w:rPr>
          <w:b/>
          <w:bCs/>
        </w:rPr>
        <w:t>ANEXO III</w:t>
      </w:r>
      <w:r>
        <w:t xml:space="preserve"> – </w:t>
      </w:r>
      <w:r>
        <w:rPr>
          <w:rFonts w:hint="eastAsia"/>
        </w:rPr>
        <w:t xml:space="preserve">Locais de </w:t>
      </w:r>
      <w:r>
        <w:t>Execução</w:t>
      </w:r>
      <w:r>
        <w:rPr>
          <w:rFonts w:hint="eastAsia"/>
        </w:rPr>
        <w:t xml:space="preserve"> dos </w:t>
      </w:r>
      <w:r>
        <w:t>Serviços;</w:t>
      </w:r>
    </w:p>
    <w:p>
      <w:pPr>
        <w:pStyle w:val="57"/>
        <w:numPr>
          <w:ilvl w:val="2"/>
          <w:numId w:val="1"/>
        </w:numPr>
        <w:spacing w:line="240" w:lineRule="auto"/>
        <w:ind w:left="567" w:firstLine="567"/>
      </w:pPr>
      <w:r>
        <w:rPr>
          <w:b/>
          <w:bCs/>
        </w:rPr>
        <w:t>ANEXO IV</w:t>
      </w:r>
      <w:r>
        <w:t xml:space="preserve"> - Instrumento de Medição de Resultado (IMR);</w:t>
      </w:r>
    </w:p>
    <w:p>
      <w:pPr>
        <w:pStyle w:val="57"/>
        <w:numPr>
          <w:ilvl w:val="2"/>
          <w:numId w:val="1"/>
        </w:numPr>
        <w:spacing w:line="240" w:lineRule="auto"/>
        <w:ind w:left="567" w:firstLine="567"/>
      </w:pPr>
      <w:r>
        <w:rPr>
          <w:b/>
          <w:bCs/>
        </w:rPr>
        <w:t xml:space="preserve">ANEXO V - </w:t>
      </w:r>
      <w:r>
        <w:t>Modelo de Termo de Preposto;</w:t>
      </w:r>
    </w:p>
    <w:p>
      <w:pPr>
        <w:pStyle w:val="57"/>
        <w:numPr>
          <w:ilvl w:val="2"/>
          <w:numId w:val="1"/>
        </w:numPr>
        <w:spacing w:line="240" w:lineRule="auto"/>
        <w:ind w:left="567" w:firstLine="567"/>
      </w:pPr>
      <w:r>
        <w:rPr>
          <w:b/>
          <w:bCs/>
        </w:rPr>
        <w:t>ANEXO VI</w:t>
      </w:r>
      <w:r>
        <w:t xml:space="preserve"> – Minuta Termo de Contrato;</w:t>
      </w:r>
    </w:p>
    <w:p>
      <w:pPr>
        <w:pStyle w:val="57"/>
        <w:numPr>
          <w:ilvl w:val="2"/>
          <w:numId w:val="1"/>
        </w:numPr>
        <w:spacing w:line="240" w:lineRule="auto"/>
        <w:ind w:left="567" w:firstLine="567"/>
      </w:pPr>
      <w:r>
        <w:rPr>
          <w:b/>
          <w:bCs/>
        </w:rPr>
        <w:t>ANEXO VII-A</w:t>
      </w:r>
      <w:r>
        <w:t xml:space="preserve"> – Modelo de Proposta Comercial;</w:t>
      </w:r>
    </w:p>
    <w:p>
      <w:pPr>
        <w:pStyle w:val="57"/>
        <w:numPr>
          <w:ilvl w:val="2"/>
          <w:numId w:val="1"/>
        </w:numPr>
        <w:spacing w:line="240" w:lineRule="auto"/>
        <w:ind w:left="567" w:firstLine="567"/>
      </w:pPr>
      <w:r>
        <w:rPr>
          <w:b/>
          <w:bCs/>
        </w:rPr>
        <w:t xml:space="preserve">ANEXO VII-B – </w:t>
      </w:r>
      <w:r>
        <w:t>Modelo de Declaração de Vistoria;</w:t>
      </w:r>
    </w:p>
    <w:p>
      <w:pPr>
        <w:pStyle w:val="57"/>
        <w:numPr>
          <w:ilvl w:val="2"/>
          <w:numId w:val="1"/>
        </w:numPr>
        <w:spacing w:line="240" w:lineRule="auto"/>
        <w:ind w:left="567" w:firstLine="567"/>
      </w:pPr>
      <w:r>
        <w:rPr>
          <w:b/>
          <w:bCs/>
        </w:rPr>
        <w:t>ANEXO VII-C</w:t>
      </w:r>
      <w:r>
        <w:t xml:space="preserve"> - Termo de Declaração SEI;</w:t>
      </w:r>
    </w:p>
    <w:p>
      <w:pPr>
        <w:pStyle w:val="57"/>
        <w:spacing w:line="240" w:lineRule="auto"/>
        <w:ind w:left="1134"/>
      </w:pPr>
    </w:p>
    <w:p>
      <w:pPr>
        <w:spacing w:before="288" w:after="288" w:line="312" w:lineRule="auto"/>
        <w:ind w:firstLine="567"/>
        <w:jc w:val="center"/>
        <w:rPr>
          <w:rFonts w:ascii="Arial" w:hAnsi="Arial" w:eastAsia="MS Mincho" w:cs="Arial"/>
          <w:color w:val="000000"/>
          <w:sz w:val="20"/>
          <w:szCs w:val="20"/>
        </w:rPr>
      </w:pPr>
      <w:r>
        <w:rPr>
          <w:rFonts w:ascii="Arial" w:hAnsi="Arial" w:eastAsia="MS Mincho" w:cs="Arial"/>
          <w:color w:val="000000"/>
          <w:sz w:val="20"/>
          <w:szCs w:val="20"/>
        </w:rPr>
        <w:t xml:space="preserve">Niterói, </w:t>
      </w:r>
      <w:r>
        <w:rPr>
          <w:rFonts w:hint="default" w:ascii="Arial" w:hAnsi="Arial" w:eastAsia="MS Mincho" w:cs="Arial"/>
          <w:color w:val="000000"/>
          <w:sz w:val="20"/>
          <w:szCs w:val="20"/>
          <w:lang w:val="pt-BR"/>
        </w:rPr>
        <w:t>05</w:t>
      </w:r>
      <w:r>
        <w:rPr>
          <w:rFonts w:ascii="Arial" w:hAnsi="Arial" w:eastAsia="MS Mincho" w:cs="Arial"/>
          <w:color w:val="000000"/>
          <w:sz w:val="20"/>
          <w:szCs w:val="20"/>
        </w:rPr>
        <w:t xml:space="preserve"> de j</w:t>
      </w:r>
      <w:r>
        <w:rPr>
          <w:rFonts w:hint="default" w:ascii="Arial" w:hAnsi="Arial" w:eastAsia="MS Mincho" w:cs="Arial"/>
          <w:color w:val="000000"/>
          <w:sz w:val="20"/>
          <w:szCs w:val="20"/>
          <w:lang w:val="pt-BR"/>
        </w:rPr>
        <w:t>ulho</w:t>
      </w:r>
      <w:r>
        <w:rPr>
          <w:rFonts w:ascii="Arial" w:hAnsi="Arial" w:eastAsia="MS Mincho" w:cs="Arial"/>
          <w:color w:val="000000"/>
          <w:sz w:val="20"/>
          <w:szCs w:val="20"/>
        </w:rPr>
        <w:t xml:space="preserve"> de 2023</w:t>
      </w:r>
    </w:p>
    <w:p>
      <w:pPr>
        <w:suppressAutoHyphens/>
        <w:jc w:val="center"/>
        <w:rPr>
          <w:rFonts w:ascii="Arial" w:hAnsi="Arial" w:eastAsia="Arial"/>
          <w:b/>
          <w:color w:val="000000"/>
          <w:sz w:val="20"/>
        </w:rPr>
      </w:pPr>
      <w:r>
        <w:rPr>
          <w:rFonts w:ascii="Arial" w:hAnsi="Arial" w:eastAsia="Arial"/>
          <w:b/>
          <w:color w:val="000000"/>
          <w:sz w:val="20"/>
        </w:rPr>
        <w:t>Juliana P. Borsoi Richa</w:t>
      </w:r>
    </w:p>
    <w:p>
      <w:pPr>
        <w:suppressAutoHyphens/>
        <w:jc w:val="center"/>
        <w:rPr>
          <w:rFonts w:ascii="Arial" w:hAnsi="Arial" w:eastAsia="Arial"/>
          <w:b/>
          <w:color w:val="000000"/>
          <w:sz w:val="20"/>
        </w:rPr>
      </w:pPr>
      <w:r>
        <w:rPr>
          <w:rFonts w:ascii="Arial" w:hAnsi="Arial" w:eastAsia="Arial"/>
          <w:b/>
          <w:color w:val="000000"/>
          <w:sz w:val="20"/>
        </w:rPr>
        <w:t xml:space="preserve"> Membro da CLI</w:t>
      </w:r>
    </w:p>
    <w:sectPr>
      <w:headerReference r:id="rId3" w:type="default"/>
      <w:footerReference r:id="rId4" w:type="default"/>
      <w:pgSz w:w="11906" w:h="16838"/>
      <w:pgMar w:top="431" w:right="1134" w:bottom="1418" w:left="1134" w:header="709" w:footer="709" w:gutter="0"/>
      <w:cols w:space="720"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SimSun"/>
    <w:panose1 w:val="00000000000000000000"/>
    <w:charset w:val="00"/>
    <w:family w:val="swiss"/>
    <w:pitch w:val="default"/>
    <w:sig w:usb0="00000000" w:usb1="00000000" w:usb2="00000000" w:usb3="00000000" w:csb0="00000001" w:csb1="0000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swiss"/>
    <w:pitch w:val="default"/>
    <w:sig w:usb0="000006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Ecofont_Spranq_eco_Sans" w:hAnsi="Ecofont_Spranq_eco_Sans" w:cs="Tahoma"/>
      </w:rPr>
      <w:id w:val="1701130803"/>
    </w:sdtPr>
    <w:sdtEndPr>
      <w:rPr>
        <w:rFonts w:ascii="Ecofont_Spranq_eco_Sans" w:hAnsi="Ecofont_Spranq_eco_Sans" w:cs="Tahoma"/>
      </w:rPr>
    </w:sdtEndPr>
    <w:sdtContent>
      <w:p>
        <w:pPr>
          <w:pStyle w:val="19"/>
          <w:spacing w:beforeAutospacing="0" w:afterAutospacing="0" w:line="15" w:lineRule="atLeast"/>
          <w:rPr>
            <w:sz w:val="14"/>
            <w:szCs w:val="14"/>
          </w:rPr>
        </w:pPr>
      </w:p>
      <w:p>
        <w:pPr>
          <w:pStyle w:val="22"/>
          <w:rPr>
            <w:rFonts w:hint="eastAsia"/>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p>
      <w:p>
        <w:pPr>
          <w:pStyle w:val="22"/>
          <w:rPr>
            <w:rFonts w:ascii="Arial" w:hAnsi="Arial" w:cs="Arial"/>
            <w:color w:val="808080" w:themeColor="text1" w:themeTint="80"/>
            <w:sz w:val="18"/>
            <w:szCs w:val="18"/>
            <w14:textFill>
              <w14:solidFill>
                <w14:schemeClr w14:val="tx1">
                  <w14:lumMod w14:val="50000"/>
                  <w14:lumOff w14:val="50000"/>
                </w14:schemeClr>
              </w14:solidFill>
            </w14:textFill>
          </w:rPr>
        </w:pPr>
        <w:r>
          <w:rPr>
            <w:color w:val="808080" w:themeColor="text1" w:themeTint="80"/>
            <w:spacing w:val="60"/>
            <w:sz w:val="22"/>
            <w:szCs w:val="22"/>
            <w14:textFill>
              <w14:solidFill>
                <w14:schemeClr w14:val="tx1">
                  <w14:lumMod w14:val="50000"/>
                  <w14:lumOff w14:val="50000"/>
                </w14:schemeClr>
              </w14:solidFill>
            </w14:textFill>
          </w:rPr>
          <w:tab/>
        </w:r>
        <w:r>
          <w:rPr>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sz w:val="18"/>
            <w:szCs w:val="18"/>
          </w:rPr>
          <w:instrText xml:space="preserve">PAGE</w:instrText>
        </w:r>
        <w:r>
          <w:rPr>
            <w:rFonts w:ascii="Arial" w:hAnsi="Arial" w:cs="Arial"/>
            <w:sz w:val="18"/>
            <w:szCs w:val="18"/>
          </w:rPr>
          <w:fldChar w:fldCharType="separate"/>
        </w:r>
        <w:r>
          <w:rPr>
            <w:rFonts w:ascii="Arial" w:hAnsi="Arial" w:cs="Arial"/>
            <w:sz w:val="18"/>
            <w:szCs w:val="18"/>
          </w:rPr>
          <w:t>26</w:t>
        </w:r>
        <w:r>
          <w:rPr>
            <w:rFonts w:ascii="Arial" w:hAnsi="Arial" w:cs="Arial"/>
            <w:sz w:val="18"/>
            <w:szCs w:val="18"/>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sz w:val="18"/>
            <w:szCs w:val="18"/>
          </w:rPr>
          <w:instrText xml:space="preserve">NUMPAGES \* ARABIC</w:instrText>
        </w:r>
        <w:r>
          <w:rPr>
            <w:rFonts w:ascii="Arial" w:hAnsi="Arial" w:cs="Arial"/>
            <w:sz w:val="18"/>
            <w:szCs w:val="18"/>
          </w:rPr>
          <w:fldChar w:fldCharType="separate"/>
        </w:r>
        <w:r>
          <w:rPr>
            <w:rFonts w:ascii="Arial" w:hAnsi="Arial" w:cs="Arial"/>
            <w:sz w:val="18"/>
            <w:szCs w:val="18"/>
          </w:rPr>
          <w:t>26</w:t>
        </w:r>
        <w:r>
          <w:rPr>
            <w:rFonts w:ascii="Arial" w:hAnsi="Arial" w:cs="Arial"/>
            <w:sz w:val="18"/>
            <w:szCs w:val="18"/>
          </w:rPr>
          <w:fldChar w:fldCharType="end"/>
        </w:r>
      </w:p>
      <w:p>
        <w:pPr>
          <w:pStyle w:val="22"/>
          <w:rPr>
            <w:rFonts w:hint="eastAsia"/>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Arial" w:hAnsi="Arial" w:cs="Arial"/>
        <w:sz w:val="20"/>
        <w:szCs w:val="20"/>
      </w:rPr>
    </w:pPr>
    <w:r>
      <w:rPr>
        <w:rFonts w:ascii="Arial" w:hAnsi="Arial" w:cs="Arial"/>
        <w:sz w:val="20"/>
        <w:szCs w:val="20"/>
      </w:rPr>
      <w:t>EDITAL PREGÃO ELETRÔNICO Nº 54/2023</w:t>
    </w:r>
  </w:p>
  <w:p>
    <w:pPr>
      <w:pStyle w:val="20"/>
      <w:tabs>
        <w:tab w:val="left" w:pos="480"/>
      </w:tabs>
      <w:rPr>
        <w:rFonts w:hint="eastAsia"/>
      </w:rPr>
    </w:pPr>
    <w:r>
      <w:tab/>
    </w:r>
    <w:r>
      <w:drawing>
        <wp:anchor distT="0" distB="0" distL="0" distR="0" simplePos="0" relativeHeight="251660288" behindDoc="1" locked="0" layoutInCell="1" allowOverlap="1">
          <wp:simplePos x="0" y="0"/>
          <wp:positionH relativeFrom="column">
            <wp:posOffset>0</wp:posOffset>
          </wp:positionH>
          <wp:positionV relativeFrom="paragraph">
            <wp:posOffset>-635</wp:posOffset>
          </wp:positionV>
          <wp:extent cx="690245" cy="373380"/>
          <wp:effectExtent l="0" t="0" r="0" b="0"/>
          <wp:wrapNone/>
          <wp:docPr id="13" name="Imagem 13"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clip-art&#10;&#10;Descrição gerada automaticamente"/>
                  <pic:cNvPicPr>
                    <a:picLocks noChangeAspect="1" noChangeArrowheads="1"/>
                  </pic:cNvPicPr>
                </pic:nvPicPr>
                <pic:blipFill>
                  <a:blip r:embed="rId1"/>
                  <a:stretch>
                    <a:fillRect/>
                  </a:stretch>
                </pic:blipFill>
                <pic:spPr>
                  <a:xfrm>
                    <a:off x="0" y="0"/>
                    <a:ext cx="690245" cy="373380"/>
                  </a:xfrm>
                  <a:prstGeom prst="rect">
                    <a:avLst/>
                  </a:prstGeom>
                </pic:spPr>
              </pic:pic>
            </a:graphicData>
          </a:graphic>
        </wp:anchor>
      </w:drawing>
    </w:r>
    <w:r>
      <w:tab/>
    </w:r>
    <w:r>
      <w:tab/>
    </w:r>
  </w:p>
  <w:p>
    <w:pPr>
      <w:pStyle w:val="2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C3517"/>
    <w:multiLevelType w:val="multilevel"/>
    <w:tmpl w:val="0FCC3517"/>
    <w:lvl w:ilvl="0" w:tentative="0">
      <w:start w:val="1"/>
      <w:numFmt w:val="decimal"/>
      <w:lvlText w:val="%1."/>
      <w:lvlJc w:val="left"/>
      <w:pPr>
        <w:ind w:left="360" w:hanging="360"/>
      </w:pPr>
      <w:rPr>
        <w:b/>
      </w:rPr>
    </w:lvl>
    <w:lvl w:ilvl="1" w:tentative="0">
      <w:start w:val="1"/>
      <w:numFmt w:val="decimal"/>
      <w:lvlText w:val="%1.%2."/>
      <w:lvlJc w:val="left"/>
      <w:pPr>
        <w:ind w:left="4969" w:hanging="432"/>
      </w:pPr>
      <w:rPr>
        <w:b/>
        <w:i w:val="0"/>
        <w:strike w:val="0"/>
        <w:dstrike w:val="0"/>
        <w:color w:val="auto"/>
        <w:sz w:val="20"/>
        <w:szCs w:val="20"/>
        <w:u w:val="none"/>
      </w:rPr>
    </w:lvl>
    <w:lvl w:ilvl="2" w:tentative="0">
      <w:start w:val="1"/>
      <w:numFmt w:val="decimal"/>
      <w:lvlText w:val="%1.%2.%3."/>
      <w:lvlJc w:val="left"/>
      <w:pPr>
        <w:ind w:left="3198" w:hanging="504"/>
      </w:pPr>
      <w:rPr>
        <w:rFonts w:ascii="Arial" w:hAnsi="Arial"/>
        <w:b/>
        <w:i w:val="0"/>
        <w:strike w:val="0"/>
        <w:d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08"/>
  <w:hyphenationZone w:val="425"/>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4E"/>
    <w:rsid w:val="000427FA"/>
    <w:rsid w:val="00055EF9"/>
    <w:rsid w:val="00063427"/>
    <w:rsid w:val="00071606"/>
    <w:rsid w:val="000776F2"/>
    <w:rsid w:val="000933E0"/>
    <w:rsid w:val="00095716"/>
    <w:rsid w:val="000B780C"/>
    <w:rsid w:val="00100E40"/>
    <w:rsid w:val="001207D3"/>
    <w:rsid w:val="001445C6"/>
    <w:rsid w:val="00145E71"/>
    <w:rsid w:val="00151ED1"/>
    <w:rsid w:val="001522F6"/>
    <w:rsid w:val="00155645"/>
    <w:rsid w:val="0015578A"/>
    <w:rsid w:val="00157D34"/>
    <w:rsid w:val="00165F65"/>
    <w:rsid w:val="00196603"/>
    <w:rsid w:val="001E51A1"/>
    <w:rsid w:val="001F24D6"/>
    <w:rsid w:val="00200B65"/>
    <w:rsid w:val="002024ED"/>
    <w:rsid w:val="002027CF"/>
    <w:rsid w:val="0020744E"/>
    <w:rsid w:val="002130F7"/>
    <w:rsid w:val="00216ADE"/>
    <w:rsid w:val="00221F5C"/>
    <w:rsid w:val="002224BF"/>
    <w:rsid w:val="00230A6B"/>
    <w:rsid w:val="00252367"/>
    <w:rsid w:val="002526DA"/>
    <w:rsid w:val="00292584"/>
    <w:rsid w:val="00294CAE"/>
    <w:rsid w:val="002C34C1"/>
    <w:rsid w:val="002F3DEF"/>
    <w:rsid w:val="002F7421"/>
    <w:rsid w:val="003338BB"/>
    <w:rsid w:val="00342202"/>
    <w:rsid w:val="003550C3"/>
    <w:rsid w:val="00365522"/>
    <w:rsid w:val="00371BDD"/>
    <w:rsid w:val="00386CCB"/>
    <w:rsid w:val="003905F3"/>
    <w:rsid w:val="003A0E3E"/>
    <w:rsid w:val="003A1191"/>
    <w:rsid w:val="003B0DA0"/>
    <w:rsid w:val="003E3D19"/>
    <w:rsid w:val="00407AC9"/>
    <w:rsid w:val="0041434C"/>
    <w:rsid w:val="00426A35"/>
    <w:rsid w:val="004548AD"/>
    <w:rsid w:val="004641F0"/>
    <w:rsid w:val="004A53C4"/>
    <w:rsid w:val="004B0EC6"/>
    <w:rsid w:val="004C044E"/>
    <w:rsid w:val="004C2849"/>
    <w:rsid w:val="004E6804"/>
    <w:rsid w:val="005049AB"/>
    <w:rsid w:val="00520AAD"/>
    <w:rsid w:val="00534849"/>
    <w:rsid w:val="0054642C"/>
    <w:rsid w:val="0055780F"/>
    <w:rsid w:val="005D77E1"/>
    <w:rsid w:val="005E02C1"/>
    <w:rsid w:val="005E32F8"/>
    <w:rsid w:val="00624DC6"/>
    <w:rsid w:val="006D0EF9"/>
    <w:rsid w:val="006F6776"/>
    <w:rsid w:val="00700781"/>
    <w:rsid w:val="00732AB6"/>
    <w:rsid w:val="007501C9"/>
    <w:rsid w:val="007B7F4E"/>
    <w:rsid w:val="007D1F1A"/>
    <w:rsid w:val="007D4D75"/>
    <w:rsid w:val="007F68BB"/>
    <w:rsid w:val="008175D2"/>
    <w:rsid w:val="00823437"/>
    <w:rsid w:val="008B2DF8"/>
    <w:rsid w:val="008B6011"/>
    <w:rsid w:val="008C32F7"/>
    <w:rsid w:val="008D3CF6"/>
    <w:rsid w:val="00901003"/>
    <w:rsid w:val="00913AC6"/>
    <w:rsid w:val="00924BED"/>
    <w:rsid w:val="00940B8C"/>
    <w:rsid w:val="009440A7"/>
    <w:rsid w:val="009826B0"/>
    <w:rsid w:val="00985984"/>
    <w:rsid w:val="00986980"/>
    <w:rsid w:val="00986B54"/>
    <w:rsid w:val="00995955"/>
    <w:rsid w:val="009C0926"/>
    <w:rsid w:val="009C6652"/>
    <w:rsid w:val="009D21EE"/>
    <w:rsid w:val="00A03228"/>
    <w:rsid w:val="00A27345"/>
    <w:rsid w:val="00A33476"/>
    <w:rsid w:val="00A37B58"/>
    <w:rsid w:val="00A47BA3"/>
    <w:rsid w:val="00AA21DA"/>
    <w:rsid w:val="00AA4B03"/>
    <w:rsid w:val="00AD79FA"/>
    <w:rsid w:val="00B0615B"/>
    <w:rsid w:val="00B146DD"/>
    <w:rsid w:val="00B23644"/>
    <w:rsid w:val="00B238ED"/>
    <w:rsid w:val="00B749D9"/>
    <w:rsid w:val="00BA055A"/>
    <w:rsid w:val="00BA3875"/>
    <w:rsid w:val="00BF589A"/>
    <w:rsid w:val="00C03965"/>
    <w:rsid w:val="00C12264"/>
    <w:rsid w:val="00C13801"/>
    <w:rsid w:val="00C4753E"/>
    <w:rsid w:val="00C52C14"/>
    <w:rsid w:val="00C87D31"/>
    <w:rsid w:val="00CF7488"/>
    <w:rsid w:val="00D244C8"/>
    <w:rsid w:val="00D30505"/>
    <w:rsid w:val="00D40219"/>
    <w:rsid w:val="00D60C76"/>
    <w:rsid w:val="00D70126"/>
    <w:rsid w:val="00D72A94"/>
    <w:rsid w:val="00DB7564"/>
    <w:rsid w:val="00DD568D"/>
    <w:rsid w:val="00DF7A30"/>
    <w:rsid w:val="00E07BE7"/>
    <w:rsid w:val="00E3169A"/>
    <w:rsid w:val="00E3216A"/>
    <w:rsid w:val="00E5311B"/>
    <w:rsid w:val="00E670FD"/>
    <w:rsid w:val="00E726E3"/>
    <w:rsid w:val="00EA4A6B"/>
    <w:rsid w:val="00EE7CAF"/>
    <w:rsid w:val="00F2200F"/>
    <w:rsid w:val="00F43115"/>
    <w:rsid w:val="00F46A91"/>
    <w:rsid w:val="00F5573B"/>
    <w:rsid w:val="00F63353"/>
    <w:rsid w:val="00F97152"/>
    <w:rsid w:val="00FC196B"/>
    <w:rsid w:val="00FC22FA"/>
    <w:rsid w:val="00FD220A"/>
    <w:rsid w:val="00FE1432"/>
    <w:rsid w:val="00FF45EB"/>
    <w:rsid w:val="1C0C0B3C"/>
    <w:rsid w:val="2F5B529A"/>
    <w:rsid w:val="35DF49C9"/>
    <w:rsid w:val="35F25E76"/>
    <w:rsid w:val="3C3D597A"/>
    <w:rsid w:val="4B4761B3"/>
    <w:rsid w:val="4DB43081"/>
    <w:rsid w:val="5B1C4B76"/>
    <w:rsid w:val="6B826063"/>
    <w:rsid w:val="75904E6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4"/>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74"/>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0"/>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75"/>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0"/>
    <w:rPr>
      <w:color w:val="800080" w:themeColor="followedHyperlink"/>
      <w:u w:val="single"/>
      <w14:textFill>
        <w14:solidFill>
          <w14:schemeClr w14:val="folHlink"/>
        </w14:solidFill>
      </w14:textFill>
    </w:rPr>
  </w:style>
  <w:style w:type="character" w:styleId="12">
    <w:name w:val="Emphasis"/>
    <w:basedOn w:val="7"/>
    <w:qFormat/>
    <w:uiPriority w:val="0"/>
    <w:rPr>
      <w:i/>
      <w:iCs/>
    </w:rPr>
  </w:style>
  <w:style w:type="character" w:styleId="13">
    <w:name w:val="Hyperlink"/>
    <w:basedOn w:val="7"/>
    <w:unhideWhenUsed/>
    <w:qFormat/>
    <w:uiPriority w:val="99"/>
    <w:rPr>
      <w:color w:val="0000FF" w:themeColor="hyperlink"/>
      <w:u w:val="single"/>
      <w14:textFill>
        <w14:solidFill>
          <w14:schemeClr w14:val="hlink"/>
        </w14:solidFill>
      </w14:textFill>
    </w:rPr>
  </w:style>
  <w:style w:type="paragraph" w:styleId="14">
    <w:name w:val="List"/>
    <w:basedOn w:val="15"/>
    <w:qFormat/>
    <w:uiPriority w:val="0"/>
    <w:rPr>
      <w:rFonts w:cs="Arial"/>
    </w:rPr>
  </w:style>
  <w:style w:type="paragraph" w:styleId="15">
    <w:name w:val="Body Text"/>
    <w:basedOn w:val="1"/>
    <w:link w:val="52"/>
    <w:unhideWhenUsed/>
    <w:qFormat/>
    <w:uiPriority w:val="0"/>
    <w:pPr>
      <w:spacing w:beforeAutospacing="1" w:afterAutospacing="1"/>
    </w:pPr>
    <w:rPr>
      <w:rFonts w:ascii="Times New Roman" w:hAnsi="Times New Roman" w:eastAsia="Times New Roman" w:cs="Times New Roman"/>
    </w:rPr>
  </w:style>
  <w:style w:type="paragraph" w:styleId="16">
    <w:name w:val="annotation text"/>
    <w:basedOn w:val="1"/>
    <w:link w:val="38"/>
    <w:unhideWhenUsed/>
    <w:qFormat/>
    <w:uiPriority w:val="0"/>
    <w:rPr>
      <w:sz w:val="20"/>
      <w:szCs w:val="20"/>
    </w:rPr>
  </w:style>
  <w:style w:type="paragraph" w:styleId="17">
    <w:name w:val="Title"/>
    <w:basedOn w:val="1"/>
    <w:next w:val="15"/>
    <w:link w:val="41"/>
    <w:qFormat/>
    <w:uiPriority w:val="0"/>
    <w:pPr>
      <w:pBdr>
        <w:bottom w:val="single" w:color="4F81BD" w:sz="8" w:space="4"/>
      </w:pBdr>
      <w:spacing w:after="300"/>
      <w:contextualSpacing/>
    </w:pPr>
    <w:rPr>
      <w:rFonts w:asciiTheme="majorHAnsi" w:hAnsiTheme="majorHAnsi" w:eastAsiaTheme="majorEastAsia" w:cstheme="majorBidi"/>
      <w:color w:val="17375E" w:themeColor="text2" w:themeShade="BF"/>
      <w:spacing w:val="5"/>
      <w:kern w:val="2"/>
      <w:sz w:val="52"/>
      <w:szCs w:val="52"/>
    </w:rPr>
  </w:style>
  <w:style w:type="paragraph" w:styleId="18">
    <w:name w:val="List Bullet 5"/>
    <w:basedOn w:val="1"/>
    <w:qFormat/>
    <w:uiPriority w:val="0"/>
    <w:pPr>
      <w:contextualSpacing/>
    </w:pPr>
  </w:style>
  <w:style w:type="paragraph" w:styleId="19">
    <w:name w:val="Normal (Web)"/>
    <w:basedOn w:val="1"/>
    <w:qFormat/>
    <w:uiPriority w:val="99"/>
    <w:pPr>
      <w:spacing w:beforeAutospacing="1" w:afterAutospacing="1"/>
    </w:pPr>
    <w:rPr>
      <w:rFonts w:ascii="Times New Roman" w:hAnsi="Times New Roman" w:cs="Times New Roman"/>
    </w:rPr>
  </w:style>
  <w:style w:type="paragraph" w:styleId="20">
    <w:name w:val="header"/>
    <w:basedOn w:val="1"/>
    <w:link w:val="36"/>
    <w:qFormat/>
    <w:uiPriority w:val="99"/>
    <w:pPr>
      <w:tabs>
        <w:tab w:val="center" w:pos="4252"/>
        <w:tab w:val="right" w:pos="8504"/>
      </w:tabs>
    </w:pPr>
  </w:style>
  <w:style w:type="paragraph" w:styleId="21">
    <w:name w:val="annotation subject"/>
    <w:basedOn w:val="16"/>
    <w:next w:val="16"/>
    <w:link w:val="39"/>
    <w:semiHidden/>
    <w:unhideWhenUsed/>
    <w:qFormat/>
    <w:uiPriority w:val="0"/>
    <w:rPr>
      <w:b/>
      <w:bCs/>
    </w:rPr>
  </w:style>
  <w:style w:type="paragraph" w:styleId="22">
    <w:name w:val="footer"/>
    <w:basedOn w:val="1"/>
    <w:link w:val="37"/>
    <w:qFormat/>
    <w:uiPriority w:val="99"/>
    <w:pPr>
      <w:tabs>
        <w:tab w:val="center" w:pos="4252"/>
        <w:tab w:val="right" w:pos="8504"/>
      </w:tabs>
    </w:pPr>
  </w:style>
  <w:style w:type="paragraph" w:styleId="23">
    <w:name w:val="caption"/>
    <w:basedOn w:val="1"/>
    <w:next w:val="1"/>
    <w:qFormat/>
    <w:uiPriority w:val="0"/>
    <w:pPr>
      <w:suppressLineNumbers/>
      <w:spacing w:before="120" w:after="120"/>
    </w:pPr>
    <w:rPr>
      <w:rFonts w:cs="Arial"/>
      <w:i/>
      <w:iCs/>
    </w:rPr>
  </w:style>
  <w:style w:type="paragraph" w:styleId="24">
    <w:name w:val="Balloon Text"/>
    <w:basedOn w:val="1"/>
    <w:link w:val="27"/>
    <w:qFormat/>
    <w:uiPriority w:val="99"/>
    <w:rPr>
      <w:rFonts w:ascii="Tahoma" w:hAnsi="Tahoma"/>
      <w:sz w:val="16"/>
      <w:szCs w:val="16"/>
    </w:rPr>
  </w:style>
  <w:style w:type="paragraph" w:styleId="25">
    <w:name w:val="toc 1"/>
    <w:basedOn w:val="1"/>
    <w:next w:val="1"/>
    <w:unhideWhenUsed/>
    <w:uiPriority w:val="39"/>
    <w:pPr>
      <w:tabs>
        <w:tab w:val="left" w:pos="426"/>
        <w:tab w:val="right" w:leader="dot" w:pos="9628"/>
      </w:tabs>
      <w:spacing w:after="100"/>
    </w:pPr>
    <w:rPr>
      <w:rFonts w:ascii="Arial" w:hAnsi="Arial" w:eastAsia="Times New Roman"/>
      <w:sz w:val="20"/>
    </w:rPr>
  </w:style>
  <w:style w:type="table" w:styleId="26">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exto de balão Char"/>
    <w:link w:val="24"/>
    <w:qFormat/>
    <w:uiPriority w:val="99"/>
    <w:rPr>
      <w:rFonts w:ascii="Tahoma" w:hAnsi="Tahoma" w:cs="Tahoma"/>
      <w:sz w:val="16"/>
      <w:szCs w:val="16"/>
    </w:rPr>
  </w:style>
  <w:style w:type="character" w:customStyle="1" w:styleId="28">
    <w:name w:val="Título 2 Char"/>
    <w:link w:val="3"/>
    <w:qFormat/>
    <w:uiPriority w:val="0"/>
    <w:rPr>
      <w:b/>
      <w:color w:val="000000"/>
      <w:sz w:val="24"/>
    </w:rPr>
  </w:style>
  <w:style w:type="character" w:customStyle="1" w:styleId="29">
    <w:name w:val="normal__char1"/>
    <w:qFormat/>
    <w:uiPriority w:val="0"/>
    <w:rPr>
      <w:rFonts w:ascii="Arial" w:hAnsi="Arial" w:cs="Arial"/>
      <w:sz w:val="24"/>
      <w:szCs w:val="24"/>
      <w:u w:val="none"/>
    </w:rPr>
  </w:style>
  <w:style w:type="character" w:customStyle="1" w:styleId="30">
    <w:name w:val="apple-style-span"/>
    <w:basedOn w:val="7"/>
    <w:qFormat/>
    <w:uiPriority w:val="0"/>
  </w:style>
  <w:style w:type="character" w:customStyle="1" w:styleId="31">
    <w:name w:val="Link da Internet"/>
    <w:basedOn w:val="7"/>
    <w:unhideWhenUsed/>
    <w:qFormat/>
    <w:uiPriority w:val="99"/>
    <w:rPr>
      <w:color w:val="0000FF" w:themeColor="hyperlink"/>
      <w:u w:val="single"/>
      <w14:textFill>
        <w14:solidFill>
          <w14:schemeClr w14:val="hlink"/>
        </w14:solidFill>
      </w14:textFill>
    </w:rPr>
  </w:style>
  <w:style w:type="character" w:customStyle="1" w:styleId="32">
    <w:name w:val="Citação Char"/>
    <w:link w:val="33"/>
    <w:qFormat/>
    <w:uiPriority w:val="0"/>
    <w:rPr>
      <w:rFonts w:ascii="Arial" w:hAnsi="Arial" w:eastAsia="Calibri" w:cs="Tahoma"/>
      <w:i/>
      <w:iCs/>
      <w:color w:val="000000"/>
      <w:szCs w:val="24"/>
      <w:shd w:val="clear" w:color="auto" w:fill="FFFFCC"/>
    </w:rPr>
  </w:style>
  <w:style w:type="paragraph" w:styleId="33">
    <w:name w:val="Quote"/>
    <w:basedOn w:val="1"/>
    <w:next w:val="1"/>
    <w:link w:val="32"/>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Nota explicativa Char"/>
    <w:basedOn w:val="32"/>
    <w:link w:val="35"/>
    <w:qFormat/>
    <w:uiPriority w:val="0"/>
    <w:rPr>
      <w:rFonts w:ascii="Arial" w:hAnsi="Arial" w:eastAsia="Calibri" w:cs="Tahoma"/>
      <w:color w:val="000000"/>
      <w:szCs w:val="24"/>
      <w:shd w:val="clear" w:color="auto" w:fill="FFFFCC"/>
    </w:rPr>
  </w:style>
  <w:style w:type="paragraph" w:customStyle="1" w:styleId="35">
    <w:name w:val="Nota explicativa"/>
    <w:basedOn w:val="33"/>
    <w:link w:val="34"/>
    <w:qFormat/>
    <w:uiPriority w:val="0"/>
    <w:rPr>
      <w:szCs w:val="20"/>
    </w:rPr>
  </w:style>
  <w:style w:type="character" w:customStyle="1" w:styleId="36">
    <w:name w:val="Cabeçalho Char"/>
    <w:link w:val="20"/>
    <w:qFormat/>
    <w:uiPriority w:val="99"/>
    <w:rPr>
      <w:rFonts w:ascii="Ecofont_Spranq_eco_Sans" w:hAnsi="Ecofont_Spranq_eco_Sans" w:cs="Tahoma"/>
      <w:sz w:val="24"/>
      <w:szCs w:val="24"/>
    </w:rPr>
  </w:style>
  <w:style w:type="character" w:customStyle="1" w:styleId="37">
    <w:name w:val="Rodapé Char"/>
    <w:link w:val="22"/>
    <w:qFormat/>
    <w:uiPriority w:val="99"/>
    <w:rPr>
      <w:rFonts w:ascii="Ecofont_Spranq_eco_Sans" w:hAnsi="Ecofont_Spranq_eco_Sans" w:cs="Tahoma"/>
      <w:sz w:val="24"/>
      <w:szCs w:val="24"/>
    </w:rPr>
  </w:style>
  <w:style w:type="character" w:customStyle="1" w:styleId="38">
    <w:name w:val="Texto de comentário Char"/>
    <w:basedOn w:val="7"/>
    <w:link w:val="16"/>
    <w:qFormat/>
    <w:uiPriority w:val="0"/>
    <w:rPr>
      <w:rFonts w:ascii="Ecofont_Spranq_eco_Sans" w:hAnsi="Ecofont_Spranq_eco_Sans" w:cs="Tahoma"/>
      <w:lang w:eastAsia="pt-BR"/>
    </w:rPr>
  </w:style>
  <w:style w:type="character" w:customStyle="1" w:styleId="39">
    <w:name w:val="Assunto do comentário Char"/>
    <w:basedOn w:val="38"/>
    <w:link w:val="21"/>
    <w:semiHidden/>
    <w:qFormat/>
    <w:uiPriority w:val="0"/>
    <w:rPr>
      <w:rFonts w:ascii="Ecofont_Spranq_eco_Sans" w:hAnsi="Ecofont_Spranq_eco_Sans" w:cs="Tahoma"/>
      <w:b/>
      <w:bCs/>
      <w:lang w:eastAsia="pt-BR"/>
    </w:rPr>
  </w:style>
  <w:style w:type="character" w:customStyle="1" w:styleId="40">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41">
    <w:name w:val="Título Char"/>
    <w:basedOn w:val="7"/>
    <w:link w:val="17"/>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42">
    <w:name w:val="Nivel 01 Char"/>
    <w:basedOn w:val="41"/>
    <w:link w:val="43"/>
    <w:qFormat/>
    <w:uiPriority w:val="0"/>
    <w:rPr>
      <w:rFonts w:ascii="Arial" w:hAnsi="Arial" w:cs="Arial" w:eastAsiaTheme="majorEastAsia"/>
      <w:b/>
      <w:bCs/>
      <w:color w:val="17375E" w:themeColor="text2" w:themeShade="BF"/>
      <w:spacing w:val="5"/>
      <w:kern w:val="2"/>
      <w:sz w:val="52"/>
      <w:szCs w:val="52"/>
      <w:lang w:eastAsia="pt-BR"/>
    </w:rPr>
  </w:style>
  <w:style w:type="paragraph" w:customStyle="1" w:styleId="43">
    <w:name w:val="Nivel 01"/>
    <w:basedOn w:val="2"/>
    <w:next w:val="1"/>
    <w:link w:val="42"/>
    <w:qFormat/>
    <w:uiPriority w:val="0"/>
    <w:pPr>
      <w:tabs>
        <w:tab w:val="left" w:pos="567"/>
      </w:tabs>
      <w:spacing w:before="240"/>
      <w:jc w:val="both"/>
    </w:pPr>
    <w:rPr>
      <w:rFonts w:ascii="Arial" w:hAnsi="Arial" w:cs="Arial"/>
      <w:color w:val="auto"/>
      <w:sz w:val="20"/>
      <w:szCs w:val="20"/>
    </w:rPr>
  </w:style>
  <w:style w:type="character" w:customStyle="1" w:styleId="44">
    <w:name w:val="Título 1 Char"/>
    <w:basedOn w:val="7"/>
    <w:link w:val="2"/>
    <w:qFormat/>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45">
    <w:name w:val="Nivel_01_Titulo Char"/>
    <w:basedOn w:val="42"/>
    <w:link w:val="46"/>
    <w:qFormat/>
    <w:uiPriority w:val="0"/>
    <w:rPr>
      <w:rFonts w:ascii="Arial" w:hAnsi="Arial" w:eastAsiaTheme="majorEastAsia" w:cstheme="majorBidi"/>
      <w:color w:val="000000" w:themeColor="text1"/>
      <w:spacing w:val="5"/>
      <w:kern w:val="2"/>
      <w:sz w:val="52"/>
      <w:szCs w:val="52"/>
      <w:lang w:eastAsia="pt-BR"/>
      <w14:textFill>
        <w14:solidFill>
          <w14:schemeClr w14:val="tx1"/>
        </w14:solidFill>
      </w14:textFill>
    </w:rPr>
  </w:style>
  <w:style w:type="paragraph" w:customStyle="1" w:styleId="46">
    <w:name w:val="Nivel_01_Titulo"/>
    <w:basedOn w:val="43"/>
    <w:link w:val="45"/>
    <w:qFormat/>
    <w:uiPriority w:val="0"/>
    <w:pPr>
      <w:jc w:val="left"/>
    </w:pPr>
    <w:rPr>
      <w:rFonts w:cstheme="majorBidi"/>
      <w:color w:val="000000" w:themeColor="text1"/>
      <w:spacing w:val="5"/>
      <w:kern w:val="2"/>
      <w:sz w:val="52"/>
      <w:szCs w:val="52"/>
      <w14:textFill>
        <w14:solidFill>
          <w14:schemeClr w14:val="tx1"/>
        </w14:solidFill>
      </w14:textFill>
    </w:rPr>
  </w:style>
  <w:style w:type="character" w:customStyle="1" w:styleId="47">
    <w:name w:val="Quote Char"/>
    <w:basedOn w:val="7"/>
    <w:link w:val="48"/>
    <w:qFormat/>
    <w:uiPriority w:val="0"/>
    <w:rPr>
      <w:rFonts w:ascii="Ecofont_Spranq_eco_Sans" w:hAnsi="Ecofont_Spranq_eco_Sans" w:eastAsia="Calibri" w:cs="Tahoma"/>
      <w:i/>
      <w:iCs/>
      <w:color w:val="000000"/>
      <w:shd w:val="clear" w:color="auto" w:fill="FFFFCC"/>
    </w:rPr>
  </w:style>
  <w:style w:type="paragraph" w:customStyle="1" w:styleId="48">
    <w:name w:val="Citação1"/>
    <w:basedOn w:val="1"/>
    <w:next w:val="1"/>
    <w:link w:val="47"/>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5"/>
    <w:qFormat/>
    <w:uiPriority w:val="0"/>
    <w:rPr>
      <w:rFonts w:eastAsia="Times New Roman"/>
      <w:sz w:val="24"/>
      <w:szCs w:val="24"/>
      <w:lang w:eastAsia="pt-BR"/>
    </w:rPr>
  </w:style>
  <w:style w:type="character" w:customStyle="1" w:styleId="53">
    <w:name w:val="Nivel1 Char"/>
    <w:basedOn w:val="44"/>
    <w:link w:val="54"/>
    <w:qFormat/>
    <w:uiPriority w:val="0"/>
    <w:rPr>
      <w:rFonts w:ascii="Arial" w:hAnsi="Arial" w:cs="Arial" w:eastAsiaTheme="majorEastAsia"/>
      <w:bCs w:val="0"/>
      <w:color w:val="000000"/>
      <w:sz w:val="28"/>
      <w:szCs w:val="28"/>
      <w:lang w:eastAsia="pt-BR"/>
    </w:rPr>
  </w:style>
  <w:style w:type="paragraph" w:customStyle="1" w:styleId="54">
    <w:name w:val="Nivel1"/>
    <w:basedOn w:val="2"/>
    <w:link w:val="53"/>
    <w:qFormat/>
    <w:uiPriority w:val="0"/>
    <w:pPr>
      <w:spacing w:line="276" w:lineRule="auto"/>
      <w:ind w:left="357" w:hanging="357"/>
      <w:jc w:val="both"/>
    </w:pPr>
    <w:rPr>
      <w:rFonts w:ascii="Arial" w:hAnsi="Arial" w:cs="Arial"/>
      <w:bCs w:val="0"/>
      <w:color w:val="000000"/>
    </w:rPr>
  </w:style>
  <w:style w:type="character" w:customStyle="1" w:styleId="55">
    <w:name w:val="Nivel 4 Char"/>
    <w:basedOn w:val="7"/>
    <w:link w:val="56"/>
    <w:qFormat/>
    <w:uiPriority w:val="0"/>
    <w:rPr>
      <w:rFonts w:ascii="Arial" w:hAnsi="Arial" w:cs="Arial"/>
      <w:lang w:eastAsia="pt-BR"/>
    </w:rPr>
  </w:style>
  <w:style w:type="paragraph" w:customStyle="1" w:styleId="56">
    <w:name w:val="Nivel 4"/>
    <w:basedOn w:val="57"/>
    <w:link w:val="55"/>
    <w:qFormat/>
    <w:uiPriority w:val="0"/>
    <w:pPr>
      <w:ind w:left="851"/>
    </w:pPr>
    <w:rPr>
      <w:color w:val="auto"/>
    </w:rPr>
  </w:style>
  <w:style w:type="paragraph" w:customStyle="1" w:styleId="57">
    <w:name w:val="Nivel 3"/>
    <w:basedOn w:val="1"/>
    <w:link w:val="81"/>
    <w:qFormat/>
    <w:uiPriority w:val="0"/>
    <w:pPr>
      <w:spacing w:before="120" w:after="120" w:line="276" w:lineRule="auto"/>
      <w:ind w:left="425"/>
      <w:jc w:val="both"/>
    </w:pPr>
    <w:rPr>
      <w:rFonts w:ascii="Arial" w:hAnsi="Arial" w:cs="Arial"/>
      <w:color w:val="000000"/>
      <w:sz w:val="20"/>
      <w:szCs w:val="20"/>
    </w:rPr>
  </w:style>
  <w:style w:type="character" w:customStyle="1" w:styleId="58">
    <w:name w:val="cp_0020corpodespacho__char1"/>
    <w:qFormat/>
    <w:uiPriority w:val="0"/>
    <w:rPr>
      <w:rFonts w:ascii="Times New Roman" w:hAnsi="Times New Roman" w:cs="Times New Roman"/>
      <w:sz w:val="26"/>
      <w:szCs w:val="26"/>
      <w:u w:val="none"/>
    </w:rPr>
  </w:style>
  <w:style w:type="character" w:customStyle="1" w:styleId="59">
    <w:name w:val="em_0020ementa__char1"/>
    <w:qFormat/>
    <w:uiPriority w:val="0"/>
    <w:rPr>
      <w:rFonts w:ascii="Times New Roman" w:hAnsi="Times New Roman" w:cs="Times New Roman"/>
      <w:sz w:val="28"/>
      <w:szCs w:val="28"/>
      <w:u w:val="none"/>
    </w:rPr>
  </w:style>
  <w:style w:type="character" w:customStyle="1" w:styleId="60">
    <w:name w:val="Manoel"/>
    <w:qFormat/>
    <w:uiPriority w:val="0"/>
    <w:rPr>
      <w:rFonts w:ascii="Arial" w:hAnsi="Arial" w:cs="Arial"/>
      <w:color w:val="7030A0"/>
      <w:sz w:val="20"/>
    </w:rPr>
  </w:style>
  <w:style w:type="character" w:customStyle="1" w:styleId="61">
    <w:name w:val="Grade Colorida - Ênfase 1 Char"/>
    <w:qFormat/>
    <w:uiPriority w:val="29"/>
    <w:rPr>
      <w:rFonts w:ascii="Arial" w:hAnsi="Arial" w:eastAsia="Calibri"/>
      <w:i/>
      <w:iCs/>
      <w:color w:val="000000"/>
      <w:szCs w:val="24"/>
      <w:shd w:val="clear" w:color="auto" w:fill="FFFFCC"/>
    </w:rPr>
  </w:style>
  <w:style w:type="character" w:customStyle="1" w:styleId="62">
    <w:name w:val="highlight"/>
    <w:basedOn w:val="7"/>
    <w:qFormat/>
    <w:uiPriority w:val="0"/>
  </w:style>
  <w:style w:type="character" w:customStyle="1" w:styleId="63">
    <w:name w:val="Menção Pendente1"/>
    <w:basedOn w:val="7"/>
    <w:semiHidden/>
    <w:unhideWhenUsed/>
    <w:qFormat/>
    <w:uiPriority w:val="99"/>
    <w:rPr>
      <w:color w:val="605E5C"/>
      <w:shd w:val="clear" w:color="auto" w:fill="E1DFDD"/>
    </w:rPr>
  </w:style>
  <w:style w:type="character" w:customStyle="1" w:styleId="64">
    <w:name w:val="Menção Pendente2"/>
    <w:basedOn w:val="7"/>
    <w:semiHidden/>
    <w:unhideWhenUsed/>
    <w:qFormat/>
    <w:uiPriority w:val="99"/>
    <w:rPr>
      <w:color w:val="605E5C"/>
      <w:shd w:val="clear" w:color="auto" w:fill="E1DFDD"/>
    </w:rPr>
  </w:style>
  <w:style w:type="character" w:customStyle="1" w:styleId="65">
    <w:name w:val="Nivel 2 Char"/>
    <w:basedOn w:val="7"/>
    <w:link w:val="66"/>
    <w:qFormat/>
    <w:locked/>
    <w:uiPriority w:val="0"/>
    <w:rPr>
      <w:rFonts w:ascii="Arial" w:hAnsi="Arial" w:cs="Arial"/>
      <w:color w:val="000000"/>
      <w:lang w:eastAsia="pt-BR"/>
    </w:rPr>
  </w:style>
  <w:style w:type="paragraph" w:customStyle="1" w:styleId="66">
    <w:name w:val="Nivel 2"/>
    <w:basedOn w:val="1"/>
    <w:link w:val="65"/>
    <w:qFormat/>
    <w:uiPriority w:val="0"/>
    <w:pPr>
      <w:spacing w:before="120" w:after="120" w:line="276" w:lineRule="auto"/>
      <w:jc w:val="both"/>
    </w:pPr>
    <w:rPr>
      <w:rFonts w:ascii="Arial" w:hAnsi="Arial" w:cs="Arial"/>
      <w:color w:val="000000"/>
      <w:sz w:val="20"/>
      <w:szCs w:val="20"/>
    </w:rPr>
  </w:style>
  <w:style w:type="character" w:customStyle="1" w:styleId="67">
    <w:name w:val="Nível 2 Opcional Char"/>
    <w:basedOn w:val="7"/>
    <w:link w:val="68"/>
    <w:qFormat/>
    <w:uiPriority w:val="0"/>
    <w:rPr>
      <w:rFonts w:ascii="Arial" w:hAnsi="Arial" w:eastAsia="Times New Roman" w:cs="Arial"/>
      <w:i/>
      <w:color w:val="FF0000"/>
      <w:lang w:eastAsia="pt-BR"/>
    </w:rPr>
  </w:style>
  <w:style w:type="paragraph" w:customStyle="1" w:styleId="68">
    <w:name w:val="Nível 2 Opcional"/>
    <w:basedOn w:val="66"/>
    <w:link w:val="67"/>
    <w:qFormat/>
    <w:uiPriority w:val="0"/>
    <w:pPr>
      <w:ind w:left="432" w:hanging="432"/>
    </w:pPr>
    <w:rPr>
      <w:rFonts w:eastAsia="Times New Roman"/>
      <w:i/>
      <w:color w:val="FF0000"/>
    </w:rPr>
  </w:style>
  <w:style w:type="character" w:customStyle="1" w:styleId="69">
    <w:name w:val="Nível 3 Opcional Char"/>
    <w:basedOn w:val="7"/>
    <w:link w:val="70"/>
    <w:qFormat/>
    <w:uiPriority w:val="0"/>
    <w:rPr>
      <w:rFonts w:ascii="Arial" w:hAnsi="Arial" w:eastAsia="Times New Roman" w:cs="Arial"/>
      <w:i/>
      <w:iCs/>
      <w:color w:val="FF0000"/>
      <w:lang w:eastAsia="pt-BR"/>
    </w:rPr>
  </w:style>
  <w:style w:type="paragraph" w:customStyle="1" w:styleId="70">
    <w:name w:val="Nível 3 Opcional"/>
    <w:basedOn w:val="57"/>
    <w:link w:val="69"/>
    <w:qFormat/>
    <w:uiPriority w:val="0"/>
    <w:pPr>
      <w:ind w:left="1072" w:hanging="504"/>
    </w:pPr>
    <w:rPr>
      <w:rFonts w:eastAsia="Times New Roman"/>
      <w:i/>
      <w:iCs/>
      <w:color w:val="FF0000"/>
    </w:rPr>
  </w:style>
  <w:style w:type="character" w:styleId="71">
    <w:name w:val="Placeholder Text"/>
    <w:basedOn w:val="7"/>
    <w:semiHidden/>
    <w:qFormat/>
    <w:uiPriority w:val="67"/>
    <w:rPr>
      <w:color w:val="808080"/>
    </w:rPr>
  </w:style>
  <w:style w:type="character" w:customStyle="1" w:styleId="72">
    <w:name w:val="Parágrafo da Lista Char"/>
    <w:basedOn w:val="7"/>
    <w:link w:val="73"/>
    <w:qFormat/>
    <w:uiPriority w:val="34"/>
    <w:rPr>
      <w:rFonts w:ascii="Ecofont_Spranq_eco_Sans" w:hAnsi="Ecofont_Spranq_eco_Sans" w:cs="Tahoma"/>
      <w:sz w:val="24"/>
      <w:szCs w:val="24"/>
      <w:lang w:eastAsia="pt-BR"/>
    </w:rPr>
  </w:style>
  <w:style w:type="paragraph" w:styleId="73">
    <w:name w:val="List Paragraph"/>
    <w:basedOn w:val="1"/>
    <w:link w:val="72"/>
    <w:qFormat/>
    <w:uiPriority w:val="34"/>
    <w:pPr>
      <w:ind w:left="720"/>
      <w:contextualSpacing/>
    </w:pPr>
  </w:style>
  <w:style w:type="character" w:customStyle="1" w:styleId="74">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75">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character" w:customStyle="1" w:styleId="76">
    <w:name w:val="markedcontent"/>
    <w:basedOn w:val="7"/>
    <w:qFormat/>
    <w:uiPriority w:val="0"/>
  </w:style>
  <w:style w:type="character" w:customStyle="1" w:styleId="77">
    <w:name w:val="Menção Pendente3"/>
    <w:basedOn w:val="7"/>
    <w:semiHidden/>
    <w:unhideWhenUsed/>
    <w:qFormat/>
    <w:uiPriority w:val="99"/>
    <w:rPr>
      <w:color w:val="605E5C"/>
      <w:shd w:val="clear" w:color="auto" w:fill="E1DFDD"/>
    </w:rPr>
  </w:style>
  <w:style w:type="character" w:customStyle="1" w:styleId="78">
    <w:name w:val="Menção Pendente4"/>
    <w:basedOn w:val="7"/>
    <w:semiHidden/>
    <w:unhideWhenUsed/>
    <w:qFormat/>
    <w:uiPriority w:val="99"/>
    <w:rPr>
      <w:color w:val="605E5C"/>
      <w:shd w:val="clear" w:color="auto" w:fill="E1DFDD"/>
    </w:rPr>
  </w:style>
  <w:style w:type="character" w:customStyle="1" w:styleId="79">
    <w:name w:val="ou Char"/>
    <w:basedOn w:val="72"/>
    <w:qFormat/>
    <w:uiPriority w:val="0"/>
    <w:rPr>
      <w:rFonts w:ascii="Arial" w:hAnsi="Arial" w:cs="Arial" w:eastAsiaTheme="minorHAnsi"/>
      <w:b/>
      <w:bCs/>
      <w:i/>
      <w:iCs/>
      <w:color w:val="FF0000"/>
      <w:sz w:val="24"/>
      <w:szCs w:val="24"/>
      <w:u w:val="single"/>
      <w:lang w:eastAsia="pt-BR"/>
    </w:rPr>
  </w:style>
  <w:style w:type="character" w:customStyle="1" w:styleId="80">
    <w:name w:val="Nível 2 -Red Char"/>
    <w:basedOn w:val="65"/>
    <w:qFormat/>
    <w:uiPriority w:val="0"/>
    <w:rPr>
      <w:rFonts w:ascii="Arial" w:hAnsi="Arial" w:cs="Arial"/>
      <w:i/>
      <w:iCs/>
      <w:color w:val="FF0000"/>
      <w:lang w:eastAsia="pt-BR"/>
    </w:rPr>
  </w:style>
  <w:style w:type="character" w:customStyle="1" w:styleId="81">
    <w:name w:val="Nivel 3 Char"/>
    <w:basedOn w:val="7"/>
    <w:link w:val="57"/>
    <w:qFormat/>
    <w:uiPriority w:val="0"/>
    <w:rPr>
      <w:rFonts w:ascii="Arial" w:hAnsi="Arial" w:cs="Arial"/>
      <w:color w:val="000000"/>
      <w:lang w:eastAsia="pt-BR"/>
    </w:rPr>
  </w:style>
  <w:style w:type="character" w:customStyle="1" w:styleId="82">
    <w:name w:val="Nível 3-R Char"/>
    <w:basedOn w:val="81"/>
    <w:qFormat/>
    <w:uiPriority w:val="0"/>
    <w:rPr>
      <w:rFonts w:ascii="Arial" w:hAnsi="Arial" w:cs="Arial"/>
      <w:i/>
      <w:iCs/>
      <w:color w:val="FF0000"/>
      <w:lang w:eastAsia="pt-BR"/>
    </w:rPr>
  </w:style>
  <w:style w:type="character" w:customStyle="1" w:styleId="83">
    <w:name w:val="Nível 4-R Char"/>
    <w:basedOn w:val="55"/>
    <w:qFormat/>
    <w:uiPriority w:val="0"/>
    <w:rPr>
      <w:rFonts w:ascii="Arial" w:hAnsi="Arial" w:cs="Arial"/>
      <w:i/>
      <w:iCs/>
      <w:color w:val="FF0000"/>
      <w:lang w:eastAsia="pt-BR"/>
    </w:rPr>
  </w:style>
  <w:style w:type="character" w:customStyle="1" w:styleId="84">
    <w:name w:val="Nível 1-Sem Num Char"/>
    <w:basedOn w:val="42"/>
    <w:qFormat/>
    <w:uiPriority w:val="0"/>
    <w:rPr>
      <w:rFonts w:ascii="Arial" w:hAnsi="Arial" w:cs="Arial" w:eastAsiaTheme="majorEastAsia"/>
      <w:color w:val="FF0000"/>
      <w:spacing w:val="5"/>
      <w:kern w:val="2"/>
      <w:sz w:val="52"/>
      <w:szCs w:val="52"/>
      <w:lang w:eastAsia="pt-BR"/>
    </w:rPr>
  </w:style>
  <w:style w:type="character" w:customStyle="1" w:styleId="85">
    <w:name w:val="Preâmbulo Char"/>
    <w:basedOn w:val="7"/>
    <w:link w:val="86"/>
    <w:qFormat/>
    <w:uiPriority w:val="0"/>
    <w:rPr>
      <w:rFonts w:ascii="Arial" w:hAnsi="Arial" w:eastAsia="Arial" w:cs="Arial"/>
      <w:bCs/>
      <w:lang w:eastAsia="pt-BR"/>
    </w:rPr>
  </w:style>
  <w:style w:type="paragraph" w:customStyle="1" w:styleId="86">
    <w:name w:val="Preâmbulo"/>
    <w:basedOn w:val="1"/>
    <w:link w:val="85"/>
    <w:qFormat/>
    <w:uiPriority w:val="0"/>
    <w:pPr>
      <w:spacing w:before="480" w:after="120" w:line="360" w:lineRule="auto"/>
      <w:ind w:left="4253" w:right="-17"/>
      <w:jc w:val="both"/>
    </w:pPr>
    <w:rPr>
      <w:rFonts w:ascii="Arial" w:hAnsi="Arial" w:eastAsia="Arial" w:cs="Arial"/>
      <w:bCs/>
      <w:sz w:val="20"/>
      <w:szCs w:val="20"/>
    </w:rPr>
  </w:style>
  <w:style w:type="character" w:customStyle="1" w:styleId="87">
    <w:name w:val="Menção Pendente5"/>
    <w:basedOn w:val="7"/>
    <w:semiHidden/>
    <w:unhideWhenUsed/>
    <w:qFormat/>
    <w:uiPriority w:val="99"/>
    <w:rPr>
      <w:color w:val="605E5C"/>
      <w:shd w:val="clear" w:color="auto" w:fill="E1DFDD"/>
    </w:rPr>
  </w:style>
  <w:style w:type="character" w:customStyle="1" w:styleId="88">
    <w:name w:val="citação 2 Char"/>
    <w:basedOn w:val="32"/>
    <w:qFormat/>
    <w:uiPriority w:val="0"/>
    <w:rPr>
      <w:rFonts w:ascii="Arial" w:hAnsi="Arial" w:eastAsia="Calibri" w:cs="Tahoma"/>
      <w:color w:val="000000"/>
      <w:szCs w:val="24"/>
      <w:shd w:val="clear" w:color="auto" w:fill="FFFFCC"/>
    </w:rPr>
  </w:style>
  <w:style w:type="character" w:customStyle="1" w:styleId="89">
    <w:name w:val="Vínculo de índice"/>
    <w:qFormat/>
    <w:uiPriority w:val="0"/>
  </w:style>
  <w:style w:type="character" w:customStyle="1" w:styleId="90">
    <w:name w:val="Símbolos de numeração"/>
    <w:qFormat/>
    <w:uiPriority w:val="0"/>
  </w:style>
  <w:style w:type="paragraph" w:customStyle="1" w:styleId="91">
    <w:name w:val="Índice"/>
    <w:basedOn w:val="1"/>
    <w:qFormat/>
    <w:uiPriority w:val="0"/>
    <w:pPr>
      <w:suppressLineNumbers/>
    </w:pPr>
    <w:rPr>
      <w:rFonts w:cs="Arial"/>
    </w:rPr>
  </w:style>
  <w:style w:type="paragraph" w:customStyle="1" w:styleId="92">
    <w:name w:val="Nível 2"/>
    <w:basedOn w:val="1"/>
    <w:next w:val="1"/>
    <w:qFormat/>
    <w:uiPriority w:val="0"/>
    <w:pPr>
      <w:spacing w:after="120"/>
      <w:jc w:val="both"/>
    </w:pPr>
    <w:rPr>
      <w:rFonts w:ascii="Arial" w:hAnsi="Arial" w:cs="Times New Roman"/>
      <w:b/>
      <w:szCs w:val="20"/>
    </w:rPr>
  </w:style>
  <w:style w:type="paragraph" w:customStyle="1" w:styleId="93">
    <w:name w:val="Cabeçalho e Rodapé"/>
    <w:basedOn w:val="1"/>
    <w:qFormat/>
    <w:uiPriority w:val="0"/>
  </w:style>
  <w:style w:type="paragraph" w:customStyle="1" w:styleId="94">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95">
    <w:name w:val="paragraph"/>
    <w:basedOn w:val="1"/>
    <w:qFormat/>
    <w:uiPriority w:val="0"/>
    <w:pPr>
      <w:spacing w:beforeAutospacing="1" w:afterAutospacing="1"/>
    </w:pPr>
    <w:rPr>
      <w:rFonts w:ascii="Times New Roman" w:hAnsi="Times New Roman" w:eastAsia="Times New Roman" w:cs="Times New Roman"/>
    </w:rPr>
  </w:style>
  <w:style w:type="paragraph" w:customStyle="1" w:styleId="96">
    <w:name w:val="Parágrafo da Lista1"/>
    <w:basedOn w:val="1"/>
    <w:qFormat/>
    <w:uiPriority w:val="0"/>
    <w:pPr>
      <w:ind w:left="720"/>
    </w:pPr>
    <w:rPr>
      <w:rFonts w:eastAsia="Times New Roman" w:cs="Ecofont_Spranq_eco_Sans"/>
    </w:rPr>
  </w:style>
  <w:style w:type="paragraph" w:customStyle="1" w:styleId="97">
    <w:name w:val="Nivel 1"/>
    <w:basedOn w:val="66"/>
    <w:next w:val="66"/>
    <w:qFormat/>
    <w:uiPriority w:val="0"/>
    <w:pPr>
      <w:ind w:left="360" w:hanging="360"/>
    </w:pPr>
    <w:rPr>
      <w:b/>
    </w:rPr>
  </w:style>
  <w:style w:type="paragraph" w:customStyle="1" w:styleId="98">
    <w:name w:val="Nivel 5"/>
    <w:basedOn w:val="56"/>
    <w:qFormat/>
    <w:uiPriority w:val="0"/>
    <w:pPr>
      <w:ind w:left="1276"/>
    </w:pPr>
  </w:style>
  <w:style w:type="paragraph" w:customStyle="1" w:styleId="99">
    <w:name w:val="textbody"/>
    <w:basedOn w:val="1"/>
    <w:qFormat/>
    <w:uiPriority w:val="0"/>
    <w:pPr>
      <w:spacing w:beforeAutospacing="1" w:afterAutospacing="1"/>
    </w:pPr>
    <w:rPr>
      <w:rFonts w:ascii="Times New Roman" w:hAnsi="Times New Roman" w:eastAsia="Times New Roman" w:cs="Times New Roman"/>
    </w:rPr>
  </w:style>
  <w:style w:type="paragraph" w:customStyle="1" w:styleId="100">
    <w:name w:val="em_0020ementa"/>
    <w:basedOn w:val="1"/>
    <w:qFormat/>
    <w:uiPriority w:val="0"/>
    <w:pPr>
      <w:ind w:left="4160"/>
      <w:jc w:val="both"/>
    </w:pPr>
    <w:rPr>
      <w:rFonts w:ascii="Times New Roman" w:hAnsi="Times New Roman" w:eastAsia="Times New Roman" w:cs="Times New Roman"/>
      <w:sz w:val="28"/>
      <w:szCs w:val="28"/>
    </w:rPr>
  </w:style>
  <w:style w:type="paragraph" w:customStyle="1" w:styleId="101">
    <w:name w:val="Revisão1"/>
    <w:semiHidden/>
    <w:qFormat/>
    <w:uiPriority w:val="99"/>
    <w:rPr>
      <w:rFonts w:ascii="Ecofont_Spranq_eco_Sans" w:hAnsi="Ecofont_Spranq_eco_Sans" w:eastAsia="Times New Roman" w:cs="Tahoma"/>
      <w:sz w:val="24"/>
      <w:szCs w:val="24"/>
      <w:lang w:val="pt-BR" w:eastAsia="pt-BR" w:bidi="ar-SA"/>
    </w:rPr>
  </w:style>
  <w:style w:type="paragraph" w:customStyle="1" w:styleId="102">
    <w:name w:val="texto1"/>
    <w:basedOn w:val="1"/>
    <w:qFormat/>
    <w:uiPriority w:val="0"/>
    <w:pPr>
      <w:spacing w:beforeAutospacing="1" w:afterAutospacing="1"/>
    </w:pPr>
    <w:rPr>
      <w:rFonts w:ascii="Times New Roman" w:hAnsi="Times New Roman" w:eastAsia="Times New Roman" w:cs="Times New Roman"/>
    </w:rPr>
  </w:style>
  <w:style w:type="paragraph" w:customStyle="1" w:styleId="103">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paragraph" w:customStyle="1" w:styleId="104">
    <w:name w:val="x_western"/>
    <w:basedOn w:val="1"/>
    <w:qFormat/>
    <w:uiPriority w:val="0"/>
    <w:pPr>
      <w:spacing w:beforeAutospacing="1" w:afterAutospacing="1"/>
    </w:pPr>
    <w:rPr>
      <w:rFonts w:ascii="Times New Roman" w:hAnsi="Times New Roman" w:eastAsia="Times New Roman" w:cs="Times New Roman"/>
    </w:rPr>
  </w:style>
  <w:style w:type="paragraph" w:customStyle="1" w:styleId="105">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106">
    <w:name w:val="Normal_1"/>
    <w:qFormat/>
    <w:uiPriority w:val="0"/>
    <w:rPr>
      <w:rFonts w:ascii="Times New Roman" w:hAnsi="Times New Roman" w:eastAsia="Times New Roman" w:cs="Times New Roman"/>
      <w:sz w:val="24"/>
      <w:szCs w:val="22"/>
      <w:lang w:val="pt-BR" w:eastAsia="en-US" w:bidi="ar-SA"/>
    </w:rPr>
  </w:style>
  <w:style w:type="paragraph" w:customStyle="1" w:styleId="107">
    <w:name w:val="tcu_-__ac_-_item_9_-_1ª_linha"/>
    <w:basedOn w:val="1"/>
    <w:qFormat/>
    <w:uiPriority w:val="0"/>
    <w:pPr>
      <w:spacing w:beforeAutospacing="1" w:afterAutospacing="1"/>
    </w:pPr>
    <w:rPr>
      <w:rFonts w:ascii="Times New Roman" w:hAnsi="Times New Roman" w:eastAsia="Times New Roman" w:cs="Times New Roman"/>
    </w:rPr>
  </w:style>
  <w:style w:type="paragraph" w:customStyle="1" w:styleId="108">
    <w:name w:val="texto_justificado_recuo_primeira_linha"/>
    <w:basedOn w:val="1"/>
    <w:qFormat/>
    <w:uiPriority w:val="0"/>
    <w:pPr>
      <w:spacing w:beforeAutospacing="1" w:afterAutospacing="1"/>
    </w:pPr>
    <w:rPr>
      <w:rFonts w:ascii="Times New Roman" w:hAnsi="Times New Roman" w:eastAsia="Times New Roman" w:cs="Times New Roman"/>
    </w:rPr>
  </w:style>
  <w:style w:type="paragraph" w:customStyle="1" w:styleId="109">
    <w:name w:val="texto_justificado"/>
    <w:basedOn w:val="1"/>
    <w:qFormat/>
    <w:uiPriority w:val="0"/>
    <w:pPr>
      <w:spacing w:beforeAutospacing="1" w:afterAutospacing="1"/>
    </w:pPr>
    <w:rPr>
      <w:rFonts w:ascii="Times New Roman" w:hAnsi="Times New Roman" w:eastAsia="Times New Roman" w:cs="Times New Roman"/>
    </w:rPr>
  </w:style>
  <w:style w:type="paragraph" w:customStyle="1" w:styleId="11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111">
    <w:name w:val="corpo"/>
    <w:basedOn w:val="1"/>
    <w:qFormat/>
    <w:uiPriority w:val="0"/>
    <w:pPr>
      <w:spacing w:beforeAutospacing="1" w:afterAutospacing="1"/>
    </w:pPr>
    <w:rPr>
      <w:rFonts w:ascii="Times New Roman" w:hAnsi="Times New Roman" w:eastAsia="Times New Roman" w:cs="Times New Roman"/>
    </w:rPr>
  </w:style>
  <w:style w:type="paragraph" w:customStyle="1" w:styleId="112">
    <w:name w:val="item_nivel2"/>
    <w:basedOn w:val="1"/>
    <w:qFormat/>
    <w:uiPriority w:val="0"/>
    <w:pPr>
      <w:spacing w:beforeAutospacing="1" w:afterAutospacing="1"/>
    </w:pPr>
    <w:rPr>
      <w:rFonts w:ascii="Times New Roman" w:hAnsi="Times New Roman" w:eastAsia="Times New Roman" w:cs="Times New Roman"/>
    </w:rPr>
  </w:style>
  <w:style w:type="paragraph" w:customStyle="1" w:styleId="113">
    <w:name w:val="item_nivel1"/>
    <w:basedOn w:val="1"/>
    <w:qFormat/>
    <w:uiPriority w:val="0"/>
    <w:pPr>
      <w:spacing w:beforeAutospacing="1" w:afterAutospacing="1"/>
    </w:pPr>
    <w:rPr>
      <w:rFonts w:ascii="Times New Roman" w:hAnsi="Times New Roman" w:eastAsia="Times New Roman" w:cs="Times New Roman"/>
    </w:rPr>
  </w:style>
  <w:style w:type="paragraph" w:customStyle="1" w:styleId="114">
    <w:name w:val="item_alinea_letra"/>
    <w:basedOn w:val="1"/>
    <w:qFormat/>
    <w:uiPriority w:val="0"/>
    <w:pPr>
      <w:spacing w:beforeAutospacing="1" w:afterAutospacing="1"/>
    </w:pPr>
    <w:rPr>
      <w:rFonts w:ascii="Times New Roman" w:hAnsi="Times New Roman" w:eastAsia="Times New Roman" w:cs="Times New Roman"/>
    </w:rPr>
  </w:style>
  <w:style w:type="paragraph" w:customStyle="1" w:styleId="115">
    <w:name w:val="Standard"/>
    <w:qFormat/>
    <w:uiPriority w:val="0"/>
    <w:pPr>
      <w:suppressAutoHyphens/>
    </w:pPr>
    <w:rPr>
      <w:rFonts w:ascii="Liberation Serif" w:hAnsi="Liberation Serif" w:eastAsia="NSimSun" w:cs="Lucida Sans"/>
      <w:kern w:val="2"/>
      <w:sz w:val="24"/>
      <w:szCs w:val="24"/>
      <w:lang w:val="pt-BR" w:eastAsia="zh-CN" w:bidi="hi-IN"/>
    </w:rPr>
  </w:style>
  <w:style w:type="paragraph" w:customStyle="1" w:styleId="116">
    <w:name w:val="Text body"/>
    <w:basedOn w:val="115"/>
    <w:qFormat/>
    <w:uiPriority w:val="0"/>
    <w:pPr>
      <w:spacing w:after="140" w:line="276" w:lineRule="auto"/>
    </w:pPr>
  </w:style>
  <w:style w:type="paragraph" w:customStyle="1" w:styleId="117">
    <w:name w:val="ou"/>
    <w:basedOn w:val="73"/>
    <w:qFormat/>
    <w:uiPriority w:val="0"/>
    <w:pPr>
      <w:spacing w:before="60" w:after="60" w:line="259" w:lineRule="auto"/>
      <w:ind w:left="0"/>
      <w:jc w:val="center"/>
    </w:pPr>
    <w:rPr>
      <w:rFonts w:ascii="Arial" w:hAnsi="Arial" w:cs="Arial" w:eastAsiaTheme="minorHAnsi"/>
      <w:b/>
      <w:bCs/>
      <w:i/>
      <w:iCs/>
      <w:color w:val="FF0000"/>
      <w:u w:val="single"/>
    </w:rPr>
  </w:style>
  <w:style w:type="paragraph" w:customStyle="1" w:styleId="118">
    <w:name w:val="dou-paragraph"/>
    <w:basedOn w:val="1"/>
    <w:qFormat/>
    <w:uiPriority w:val="0"/>
    <w:pPr>
      <w:spacing w:beforeAutospacing="1" w:afterAutospacing="1"/>
    </w:pPr>
    <w:rPr>
      <w:rFonts w:ascii="Times New Roman" w:hAnsi="Times New Roman" w:eastAsia="Times New Roman" w:cs="Times New Roman"/>
    </w:rPr>
  </w:style>
  <w:style w:type="paragraph" w:customStyle="1" w:styleId="119">
    <w:name w:val="Nível 2 -Red"/>
    <w:basedOn w:val="66"/>
    <w:qFormat/>
    <w:uiPriority w:val="0"/>
    <w:rPr>
      <w:i/>
      <w:iCs/>
      <w:color w:val="FF0000"/>
    </w:rPr>
  </w:style>
  <w:style w:type="paragraph" w:customStyle="1" w:styleId="120">
    <w:name w:val="Nível 3-R"/>
    <w:basedOn w:val="57"/>
    <w:qFormat/>
    <w:uiPriority w:val="0"/>
    <w:rPr>
      <w:i/>
      <w:iCs/>
      <w:color w:val="FF0000"/>
    </w:rPr>
  </w:style>
  <w:style w:type="paragraph" w:customStyle="1" w:styleId="121">
    <w:name w:val="Nível 4-R"/>
    <w:basedOn w:val="56"/>
    <w:qFormat/>
    <w:uiPriority w:val="0"/>
    <w:pPr>
      <w:ind w:left="2491" w:hanging="648"/>
    </w:pPr>
    <w:rPr>
      <w:i/>
      <w:iCs/>
      <w:color w:val="FF0000"/>
    </w:rPr>
  </w:style>
  <w:style w:type="paragraph" w:customStyle="1" w:styleId="122">
    <w:name w:val="Nível 1-Sem Num"/>
    <w:basedOn w:val="43"/>
    <w:qFormat/>
    <w:uiPriority w:val="0"/>
    <w:pPr>
      <w:ind w:left="357"/>
      <w:outlineLvl w:val="1"/>
    </w:pPr>
    <w:rPr>
      <w:color w:val="FF0000"/>
    </w:rPr>
  </w:style>
  <w:style w:type="paragraph" w:customStyle="1" w:styleId="123">
    <w:name w:val="citação 2"/>
    <w:basedOn w:val="33"/>
    <w:qFormat/>
    <w:uiPriority w:val="0"/>
    <w:rPr>
      <w:szCs w:val="20"/>
    </w:rPr>
  </w:style>
  <w:style w:type="paragraph" w:customStyle="1" w:styleId="124">
    <w:name w:val="Cabeçalho do Sumário1"/>
    <w:basedOn w:val="2"/>
    <w:next w:val="1"/>
    <w:unhideWhenUsed/>
    <w:qFormat/>
    <w:uiPriority w:val="39"/>
    <w:pPr>
      <w:spacing w:before="240" w:line="259" w:lineRule="auto"/>
    </w:pPr>
    <w:rPr>
      <w:b w:val="0"/>
      <w:bCs w:val="0"/>
      <w:sz w:val="32"/>
      <w:szCs w:val="32"/>
    </w:rPr>
  </w:style>
  <w:style w:type="paragraph" w:customStyle="1" w:styleId="125">
    <w:name w:val="Default"/>
    <w:uiPriority w:val="0"/>
    <w:pPr>
      <w:autoSpaceDE w:val="0"/>
      <w:autoSpaceDN w:val="0"/>
      <w:adjustRightInd w:val="0"/>
    </w:pPr>
    <w:rPr>
      <w:rFonts w:ascii="Times New Roman" w:hAnsi="Times New Roman" w:cs="Times New Roman" w:eastAsiaTheme="minorEastAsia"/>
      <w:color w:val="000000"/>
      <w:sz w:val="24"/>
      <w:szCs w:val="24"/>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403BA077-76A1-418B-9152-549DA179F4A6}">
  <ds:schemaRefs/>
</ds:datastoreItem>
</file>

<file path=customXml/itemProps4.xml><?xml version="1.0" encoding="utf-8"?>
<ds:datastoreItem xmlns:ds="http://schemas.openxmlformats.org/officeDocument/2006/customXml" ds:itemID="{3B2BC15D-131A-4E41-8521-0823DB0F46EC}">
  <ds:schemaRefs/>
</ds:datastoreItem>
</file>

<file path=customXml/itemProps5.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Normal</Template>
  <Pages>26</Pages>
  <Words>8871</Words>
  <Characters>47907</Characters>
  <Lines>399</Lines>
  <Paragraphs>113</Paragraphs>
  <TotalTime>341</TotalTime>
  <ScaleCrop>false</ScaleCrop>
  <LinksUpToDate>false</LinksUpToDate>
  <CharactersWithSpaces>56665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2023-04-04T14:45:00Z</dcterms:created>
  <dc:creator>Hellen Medeiros</dc:creator>
  <cp:lastModifiedBy>Larissa Carvalho</cp:lastModifiedBy>
  <cp:lastPrinted>2023-06-30T14:32:00Z</cp:lastPrinted>
  <dcterms:modified xsi:type="dcterms:W3CDTF">2023-07-05T17:25:31Z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0x01010046D1D902F9AFB0458A156704A0C1878F</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1046-11.2.0.11537</vt:lpwstr>
  </property>
  <property fmtid="{D5CDD505-2E9C-101B-9397-08002B2CF9AE}" pid="11" name="ICV">
    <vt:lpwstr>43B0A8321FC646A39BDE0EE86371A47E</vt:lpwstr>
  </property>
</Properties>
</file>