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7FE2" w14:textId="77777777" w:rsidR="0030639D" w:rsidRDefault="0030639D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  <w:color w:val="FF0000"/>
        </w:rPr>
      </w:pPr>
    </w:p>
    <w:p w14:paraId="01B0D57A" w14:textId="77777777" w:rsidR="0030639D" w:rsidRDefault="00000000">
      <w:pPr>
        <w:pStyle w:val="PargrafodaLista"/>
        <w:autoSpaceDE w:val="0"/>
        <w:autoSpaceDN w:val="0"/>
        <w:adjustRightInd w:val="0"/>
        <w:ind w:left="1276"/>
        <w:rPr>
          <w:rFonts w:ascii="TTE431A0A0t00" w:hAnsi="TTE431A0A0t00" w:cs="TTE431A0A0t00"/>
          <w:b/>
          <w:color w:val="FF0000"/>
          <w:sz w:val="28"/>
          <w:szCs w:val="28"/>
        </w:rPr>
      </w:pPr>
      <w:r>
        <w:rPr>
          <w:rFonts w:ascii="TTE431A0A0t00" w:hAnsi="TTE431A0A0t00" w:cs="TTE431A0A0t00"/>
          <w:b/>
          <w:color w:val="FF0000"/>
          <w:sz w:val="28"/>
          <w:szCs w:val="28"/>
        </w:rPr>
        <w:t xml:space="preserve">ANEXO VI DO EDITAL DO PREGÃO ELETRÔNICO </w:t>
      </w:r>
      <w:r w:rsidR="00A23884">
        <w:rPr>
          <w:rFonts w:ascii="TTE431A0A0t00" w:hAnsi="TTE431A0A0t00" w:cs="TTE431A0A0t00"/>
          <w:b/>
          <w:color w:val="FF0000"/>
          <w:sz w:val="28"/>
          <w:szCs w:val="28"/>
        </w:rPr>
        <w:t>49/2023</w:t>
      </w:r>
      <w:r>
        <w:rPr>
          <w:rFonts w:ascii="TTE431A0A0t00" w:hAnsi="TTE431A0A0t00" w:cs="TTE431A0A0t00"/>
          <w:b/>
          <w:color w:val="FF0000"/>
          <w:sz w:val="28"/>
          <w:szCs w:val="28"/>
        </w:rPr>
        <w:t xml:space="preserve">/AD </w:t>
      </w:r>
    </w:p>
    <w:p w14:paraId="77FA4AA9" w14:textId="77777777" w:rsidR="0030639D" w:rsidRDefault="0030639D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580F2F14" w14:textId="77777777" w:rsidR="0030639D" w:rsidRDefault="00000000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TERMO DE CONCILIAÇÃO JUDICIAL FIRMADO ENTRE O MINISTÉRIO PÚBLICO DO TRABALHO E A UNIÃO</w:t>
      </w:r>
    </w:p>
    <w:p w14:paraId="598E0295" w14:textId="77777777" w:rsidR="0030639D" w:rsidRDefault="0030639D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3805F2AF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  <w:b/>
        </w:rPr>
        <w:t xml:space="preserve">O </w:t>
      </w:r>
      <w:r>
        <w:rPr>
          <w:rFonts w:ascii="TTE431A0A0t00" w:hAnsi="TTE431A0A0t00" w:cs="TTE431A0A0t00"/>
          <w:b/>
        </w:rPr>
        <w:t>MINISTÉRIO PÚBLICO DO TRABALHO</w:t>
      </w:r>
      <w:r>
        <w:rPr>
          <w:rFonts w:ascii="TTE4E87780t00" w:hAnsi="TTE4E87780t00" w:cs="TTE4E87780t00"/>
        </w:rPr>
        <w:t xml:space="preserve">, neste ato representado pelo Procurador-Geral do Trabalho, Dr. Guilherme </w:t>
      </w:r>
      <w:proofErr w:type="spellStart"/>
      <w:r>
        <w:rPr>
          <w:rFonts w:ascii="TTE4E87780t00" w:hAnsi="TTE4E87780t00" w:cs="TTE4E87780t00"/>
        </w:rPr>
        <w:t>Mastrichi</w:t>
      </w:r>
      <w:proofErr w:type="spellEnd"/>
      <w:r>
        <w:rPr>
          <w:rFonts w:ascii="TTE4E87780t00" w:hAnsi="TTE4E87780t00" w:cs="TTE4E87780t00"/>
        </w:rPr>
        <w:t xml:space="preserve"> Basso, pela Vice-Procuradora-Geral do Trabalho, Dra. Guiomar Rechia Gomes, pelo Procurador-Chefe da PRT da 10ª. Região, Dr. Brasilino Santos Ramos e pelo Procurador do Trabalho Dr. Fábio Leal Cardoso, e a </w:t>
      </w:r>
      <w:r>
        <w:rPr>
          <w:rFonts w:ascii="TTE431A0A0t00" w:hAnsi="TTE431A0A0t00" w:cs="TTE431A0A0t00"/>
        </w:rPr>
        <w:t>UNIÃO</w:t>
      </w:r>
      <w:r>
        <w:rPr>
          <w:rFonts w:ascii="TTE4E87780t00" w:hAnsi="TTE4E87780t00" w:cs="TTE4E87780t00"/>
        </w:rPr>
        <w:t xml:space="preserve">, neste ato representada pelo Procurador-Geral da União, Dr. Moacir </w:t>
      </w:r>
      <w:proofErr w:type="spellStart"/>
      <w:r>
        <w:rPr>
          <w:rFonts w:ascii="TTE4E87780t00" w:hAnsi="TTE4E87780t00" w:cs="TTE4E87780t00"/>
        </w:rPr>
        <w:t>Antonio</w:t>
      </w:r>
      <w:proofErr w:type="spellEnd"/>
      <w:r>
        <w:rPr>
          <w:rFonts w:ascii="TTE4E87780t00" w:hAnsi="TTE4E87780t00" w:cs="TTE4E87780t00"/>
        </w:rPr>
        <w:t xml:space="preserve"> da Silva Machado, pela Sub Procuradora Regional da União - 1ª. Região, Dra. Helia Maria de Oliveira </w:t>
      </w:r>
      <w:proofErr w:type="spellStart"/>
      <w:r>
        <w:rPr>
          <w:rFonts w:ascii="TTE4E87780t00" w:hAnsi="TTE4E87780t00" w:cs="TTE4E87780t00"/>
        </w:rPr>
        <w:t>Bettero</w:t>
      </w:r>
      <w:proofErr w:type="spellEnd"/>
      <w:r>
        <w:rPr>
          <w:rFonts w:ascii="TTE4E87780t00" w:hAnsi="TTE4E87780t00" w:cs="TTE4E87780t00"/>
        </w:rPr>
        <w:t xml:space="preserve"> e pelo Advogado da União, Dr. Mário Luiz Guerreiro;</w:t>
      </w:r>
    </w:p>
    <w:p w14:paraId="573BF445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toda relação jurídica de trabalho cuja prestação laboral não eventual seja ofertada pessoalmente pelo obreiro, em estado de subordinação e mediante contraprestação pecuniária, será regida obrigatoriamente pela Consolidação das Leis do Trabalho ou por estatuto próprio, quando se tratar de relação de trabalho de natureza estatutária, com a Administração Pública;</w:t>
      </w:r>
    </w:p>
    <w:p w14:paraId="3216ECF5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legislação consolidada em seu art. 9º, comina de nulidade absoluta todos os atos praticados com o intuito de desvirtuar, impedir ou fraudar a aplicação da lei trabalhista;</w:t>
      </w:r>
    </w:p>
    <w:p w14:paraId="348D5071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sociedades cooperativas, segundo 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16.12.1971, art. 4º., “(...) são sociedades de pessoas, com forma e natureza jurídica próprias, de natureza civil, não sujeitas à falência, constituídas para prestar serviços aos associados”.</w:t>
      </w:r>
    </w:p>
    <w:p w14:paraId="2C53C5EF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cooperativas podem prestar serviços a não associados somente em caráter excepcional e desde que tal faculdade atenda aos objetivos sociais previstos na sua norma estatutária, (art. 86, da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16.12.1971), aspecto legal que revela a patente impossibilidade jurídica das cooperativas funcionarem como agências de locação de mão de obra terceirizada;</w:t>
      </w:r>
    </w:p>
    <w:p w14:paraId="24DD3539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que a administração pública está inexoravelmente jungida ao princípio da legalidade, e que a prática do </w:t>
      </w:r>
      <w:proofErr w:type="spellStart"/>
      <w:r>
        <w:rPr>
          <w:rFonts w:ascii="TTE4E87780t00" w:hAnsi="TTE4E87780t00" w:cs="TTE4E87780t00"/>
        </w:rPr>
        <w:t>merchandage</w:t>
      </w:r>
      <w:proofErr w:type="spellEnd"/>
      <w:r>
        <w:rPr>
          <w:rFonts w:ascii="TTE4E87780t00" w:hAnsi="TTE4E87780t00" w:cs="TTE4E87780t00"/>
        </w:rPr>
        <w:t xml:space="preserve"> é vedada pelo art. 3º, da CLT e repelida pela jurisprudência sumulada do C. TST (</w:t>
      </w:r>
      <w:proofErr w:type="spellStart"/>
      <w:r>
        <w:rPr>
          <w:rFonts w:ascii="TTE4E87780t00" w:hAnsi="TTE4E87780t00" w:cs="TTE4E87780t00"/>
        </w:rPr>
        <w:t>En</w:t>
      </w:r>
      <w:proofErr w:type="spellEnd"/>
      <w:r>
        <w:rPr>
          <w:rFonts w:ascii="TTE4E87780t00" w:hAnsi="TTE4E87780t00" w:cs="TTE4E87780t00"/>
        </w:rPr>
        <w:t>. 331);</w:t>
      </w:r>
    </w:p>
    <w:p w14:paraId="554F858D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os trabalhadores aliciados por cooperativas de mão de obra, que prestam serviços de natureza subordinada à UNIÃO embora laborem em situação fática idêntica a dos empregados das empresas prestadoras de serviços terceirizáveis, encontram-se à margem de qualquer proteção jurídico-laboral, sendo-lhes sonegada a incidência de normas protetivas do trabalho, especialmente àquelas destinadas a tutelar a segurança e higidez do trabalho subordinado, o que afronta o princípio da isonomia, a dignidade da pessoa humana e os valores sociais do trabalho (art. 5º, caput e 1º, III e IV da Constituição Federal);</w:t>
      </w:r>
    </w:p>
    <w:p w14:paraId="66C354C0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num processo de terceirização o tomador dos serviços (no caso a administração pública) tem responsabilidade sucessiva por eventuais débitos trabalhistas do fornecedor de mão de obra, nos termos do Enunciado 331, do TST, o que poderia gerar graves prejuízos financeiros ao erário, na hipótese de se apurar a presença dos requisitos do art. 3º., da CLT na atividade de intermediação de mão de obra patrocinada por falsas cooperativas;</w:t>
      </w:r>
    </w:p>
    <w:p w14:paraId="6E97447B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o teor da Recomendação Para a Promoção das Cooperativas aprovada na 90ª. sessão, da OIT – Organização Internacional do Trabalho, em junho de 2002, dispondo que os Estados devem implementar políticas </w:t>
      </w:r>
      <w:proofErr w:type="gramStart"/>
      <w:r>
        <w:rPr>
          <w:rFonts w:ascii="TTE4E87780t00" w:hAnsi="TTE4E87780t00" w:cs="TTE4E87780t00"/>
        </w:rPr>
        <w:t>nos sentido</w:t>
      </w:r>
      <w:proofErr w:type="gramEnd"/>
      <w:r>
        <w:rPr>
          <w:rFonts w:ascii="TTE4E87780t00" w:hAnsi="TTE4E87780t00" w:cs="TTE4E87780t00"/>
        </w:rPr>
        <w:t xml:space="preserve"> de:</w:t>
      </w:r>
    </w:p>
    <w:p w14:paraId="3C2B10C1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lastRenderedPageBreak/>
        <w:t>“8.1.</w:t>
      </w:r>
      <w:proofErr w:type="gramStart"/>
      <w:r>
        <w:rPr>
          <w:rFonts w:ascii="TTE4E87780t00" w:hAnsi="TTE4E87780t00" w:cs="TTE4E87780t00"/>
        </w:rPr>
        <w:t>b Garantir</w:t>
      </w:r>
      <w:proofErr w:type="gramEnd"/>
      <w:r>
        <w:rPr>
          <w:rFonts w:ascii="TTE4E87780t00" w:hAnsi="TTE4E87780t00" w:cs="TTE4E87780t00"/>
        </w:rPr>
        <w:t xml:space="preserve"> que as cooperativas não sejam criadas para, ou direcionadas a, o não cumprimento das leis do trabalho ou usadas para estabelecer relações de emprego disfarçadas, e combater </w:t>
      </w:r>
      <w:proofErr w:type="spellStart"/>
      <w:r>
        <w:rPr>
          <w:rFonts w:ascii="TTE4E87780t00" w:hAnsi="TTE4E87780t00" w:cs="TTE4E87780t00"/>
        </w:rPr>
        <w:t>pseudocooperativas</w:t>
      </w:r>
      <w:proofErr w:type="spellEnd"/>
      <w:r>
        <w:rPr>
          <w:rFonts w:ascii="TTE4E87780t00" w:hAnsi="TTE4E87780t00" w:cs="TTE4E87780t00"/>
        </w:rPr>
        <w:t xml:space="preserve"> que violam os direitos dos trabalhadores velando para que a lei trabalhista seja aplicada em todas as empresas.”</w:t>
      </w:r>
    </w:p>
    <w:p w14:paraId="5B2E8F82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RESOLVEM</w:t>
      </w:r>
    </w:p>
    <w:p w14:paraId="24444E70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Celebrar CONCILIAÇÃO nos autos do Processo 01082-2002-020-10-00-0, em tramitação perante a MM. Vigésima Vara do Trabalho de Brasília-DF, mediante os seguintes termos:</w:t>
      </w:r>
    </w:p>
    <w:p w14:paraId="6B81DADA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Primeira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abster-se-á de contratar trabalhadores, por meio de cooperativas de mão de obra, para a prestação de serviços ligados às suas atividades-fim ou meio, quando o labor, por sua própria natureza, demandar execução em estado de subordinação, quer em relação ao tomador, ou em relação ao fornecedor dos serviços, constituindo elemento essencial ao desenvolvimento e à prestação dos serviços terceirizados, sendo eles:</w:t>
      </w:r>
    </w:p>
    <w:p w14:paraId="6FB5D7ED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a) – Serviços de limpeza;</w:t>
      </w:r>
    </w:p>
    <w:p w14:paraId="2E298D52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b) – Serviços de conservação;</w:t>
      </w:r>
    </w:p>
    <w:p w14:paraId="0B1F3DC3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c) – Serviços de segurança, de vigilância e de portaria;</w:t>
      </w:r>
    </w:p>
    <w:p w14:paraId="48911371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d) – Serviços de recepção;</w:t>
      </w:r>
    </w:p>
    <w:p w14:paraId="00A3B956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e) – Serviços de copeiragem;</w:t>
      </w:r>
    </w:p>
    <w:p w14:paraId="2409BF35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f) – Serviços de reprografia;</w:t>
      </w:r>
    </w:p>
    <w:p w14:paraId="24F9191E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g) – Serviços de telefonia;</w:t>
      </w:r>
    </w:p>
    <w:p w14:paraId="0345501B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h) – Serviços de manutenção de prédios, de equipamentos, de veículos e de instalações;</w:t>
      </w:r>
    </w:p>
    <w:p w14:paraId="151EE07C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i) – Serviços de secretariado e secretariado executivo;</w:t>
      </w:r>
    </w:p>
    <w:p w14:paraId="5C96A783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j) – Serviços de auxiliar de escritório;</w:t>
      </w:r>
    </w:p>
    <w:p w14:paraId="1AA5371A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k) – Serviços de auxiliar administrativo;</w:t>
      </w:r>
    </w:p>
    <w:p w14:paraId="4F3FAED2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l) – Serviços de </w:t>
      </w:r>
      <w:r>
        <w:rPr>
          <w:rFonts w:ascii="TTE4E9E668t00" w:hAnsi="TTE4E9E668t00" w:cs="TTE4E9E668t00"/>
        </w:rPr>
        <w:t xml:space="preserve">office boy </w:t>
      </w:r>
      <w:r>
        <w:rPr>
          <w:rFonts w:ascii="TTE4E87780t00" w:hAnsi="TTE4E87780t00" w:cs="TTE4E87780t00"/>
        </w:rPr>
        <w:t>(contínuo);</w:t>
      </w:r>
    </w:p>
    <w:p w14:paraId="592287FA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m) – Serviços de digitação;</w:t>
      </w:r>
    </w:p>
    <w:p w14:paraId="1CC76BEC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n) – Serviços de assessoria de imprensa e de relações públicas;</w:t>
      </w:r>
    </w:p>
    <w:p w14:paraId="2983F801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o) – Serviços de motorista, no caso de os veículos serem fornecidos pelo próprio órgão licitante;</w:t>
      </w:r>
    </w:p>
    <w:p w14:paraId="46CE0BD7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p) – Serviços de ascensorista;</w:t>
      </w:r>
    </w:p>
    <w:p w14:paraId="69A909E6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q) – Serviços de enfermagem; e</w:t>
      </w:r>
    </w:p>
    <w:p w14:paraId="14EDB1BF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r) – Serviços de agentes comunitários de saúde.</w:t>
      </w:r>
    </w:p>
    <w:p w14:paraId="7DC8A328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disposto nesta Cláusula não autoriza outras formas de terceirização sem previsão legal.</w:t>
      </w:r>
    </w:p>
    <w:p w14:paraId="15282D45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– As partes podem, a qualquer momento, mediante comunicação e acordos prévios, ampliar o rol de serviços elencados no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.</w:t>
      </w:r>
    </w:p>
    <w:p w14:paraId="415D6DBC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Segunda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Considera-se cooperativa de mão de obra, aquela associação cuja atividade precípua seja a mera intermediação individual de trabalhadores de uma ou várias profissões (inexistindo assim vínculo de solidariedade entre seus associados), que não detenham qualquer meio de produção, e cujos serviços sejam prestados a terceiros, de forma individual (e não coletiva), pelos seus associados.</w:t>
      </w:r>
    </w:p>
    <w:p w14:paraId="38478B95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lastRenderedPageBreak/>
        <w:t>Cláusula Terceira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obriga-se a estabelecer regras claras nos editais de licitação, a fim de esclarecer a natureza dos serviços licitados, determinando, por conseguinte, se os mesmos podem ser prestados por empresas prestadoras de serviços (trabalhadores subordinados), cooperativas de trabalho, trabalhadores autônomos, avulsos ou eventuais;</w:t>
      </w:r>
    </w:p>
    <w:p w14:paraId="2BC29524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É lícita a contratação de genuínas sociedades cooperativas desde que os serviços licitados não estejam incluídos no rol inserido nas alíneas “a” a “r” da Cláusula Primeira e sejam prestados em caráter coletivo e com absoluta autonomia dos cooperados, seja em relação às cooperativas, seja em relação ao tomador dos serviços, devendo ser juntada, na fase de habilitação, listagem contendo o nome de todos os associados. Esclarecem as partes que somente os serviços podem ser terceirizados, restando absolutamente vedado o fornecimento (intermediação de mão de obra) de trabalhadores a órgãos públicos por cooperativas de qualquer natureza.</w:t>
      </w:r>
    </w:p>
    <w:p w14:paraId="62E060E4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Os editais de licitação que se destinem a contratar os serviços disciplinados pela Cláusula Primeira deverão fazer expressa menção ao presente termo de conciliação e sua homologação, se possível transcrevendo-os na íntegra ou fazendo parte integrante desses editais, como anexo.</w:t>
      </w:r>
    </w:p>
    <w:p w14:paraId="54F1EA5C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Terceiro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Para a prestação de serviços em sua forma subordinada, o </w:t>
      </w:r>
      <w:r>
        <w:rPr>
          <w:rFonts w:ascii="TTE431A0A0t00" w:hAnsi="TTE431A0A0t00" w:cs="TTE431A0A0t00"/>
        </w:rPr>
        <w:t xml:space="preserve">licitante </w:t>
      </w:r>
      <w:r>
        <w:rPr>
          <w:rFonts w:ascii="TTE4E87780t00" w:hAnsi="TTE4E87780t00" w:cs="TTE4E87780t00"/>
        </w:rPr>
        <w:t>vencedor do certame deverá comprovar a condição de empregador dos prestadores de serviços para as quais se objetiva a contratação, constituindo-se esse requisito, condição obrigatória à assinatura do respectivo contrato.</w:t>
      </w:r>
    </w:p>
    <w:p w14:paraId="5FB8BBF6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DAS SANÇÕES PELO DESCUMPRIMENTO</w:t>
      </w:r>
    </w:p>
    <w:p w14:paraId="4D0FC5D3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Quarta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obriga-se ao pagamento de multa (astreinte) correspondente a R$1.000,00 (um mil reais) por trabalhador que esteja em desacordo com as condições estabelecidas no presente Termo de Conciliação, sendo a mesma reversível ao Fundo de Amparo ao Trabalhador (FAT).</w:t>
      </w:r>
    </w:p>
    <w:p w14:paraId="71251A59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servidor público que, em nome da Administração, firmar o contrato de prestação de serviços nas atividades relacionadas nas alíneas “a” a “r” da Cláusula Primeira, será responsável solidário por qualquer contratação irregular, respondendo pela multa prevista no caput, sem prejuízo das demais cominações legais.</w:t>
      </w:r>
    </w:p>
    <w:p w14:paraId="3770BB59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Em caso de notícia de descumprimento dos termos firmados neste ajuste, a UNIÃO, depois de intimada, terá prazo de 20 (vinte) dias para apresentar sua justificativa perante o Ministério Público do Trabalho.</w:t>
      </w:r>
    </w:p>
    <w:p w14:paraId="7AD01846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DA EXTENSÃO DO AJUSTE À ADMINISTRAÇÃO PÚBLICA INDIRETA</w:t>
      </w:r>
    </w:p>
    <w:p w14:paraId="1C40388F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Quinta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se compromete a recomendar o estabelecimento das mesmas diretrizes ora pactuadas em relação às autarquias, fundações públicas, empresas públicas e sociedades de economia mista, a fim de vincular todos os órgãos integrantes da administração pública indireta ao cumprimento do presente termo de conciliação, sendo que em relação às empresas públicas e sociedades de economia mista deverá ser dado conhecimento ao Departamento de Coordenação e Controle das Empresas Estatais – DEST, do Ministério do Planejamento, Orçamento e Gestão, ou órgão equivalente, para que discipline a matéria no âmbito de sua competência.</w:t>
      </w:r>
    </w:p>
    <w:p w14:paraId="66C674A1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DA HOMOLOGAÇÃO JUDICIAL DO AJUSTE</w:t>
      </w:r>
    </w:p>
    <w:p w14:paraId="6675248B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Sexta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As partes submetem os termos da presente conciliação à homologação do Juízo da MM. Vigésima Vara do Trabalho, para que o ajuste gere os seus efeitos jurídicos.</w:t>
      </w:r>
    </w:p>
    <w:p w14:paraId="3707E374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Sétima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termos da presente avença gerarão seus efeitos jurídicos a partir da data de sua homologação judicial.</w:t>
      </w:r>
    </w:p>
    <w:p w14:paraId="44ADB5C1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lastRenderedPageBreak/>
        <w:t>Parágrafo único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contratos em vigor entre a UNIÃO e as Cooperativas, que contrariem o presente acordo, não serão renovados ou prorrogados.</w:t>
      </w:r>
    </w:p>
    <w:p w14:paraId="57227412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Oitava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A presente conciliação extingue o processo com exame do mérito apenas em relação à UNIÃO, prosseguindo o feito quanto aos demais réus. Dito isto, por estarem as partes ajustadas e compromissadas, firmam a presente conciliação em cinco vias, a qual terá eficácia de título judicial, nos termos dos artigos 831, parágrafo único, e 876,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, da CLT.</w:t>
      </w:r>
    </w:p>
    <w:p w14:paraId="5FCBB0E7" w14:textId="77777777" w:rsidR="0030639D" w:rsidRDefault="0030639D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244E6A02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Brasília, 05 de junho de 2003.</w:t>
      </w:r>
    </w:p>
    <w:p w14:paraId="6F458B44" w14:textId="77777777" w:rsidR="0030639D" w:rsidRDefault="0030639D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59FCA6EA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GUILHERME MASTRICHI BASSO GUIOMAR RECHIA GOMES</w:t>
      </w:r>
    </w:p>
    <w:p w14:paraId="4C9C388C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do Trabalho Vice-Procuradora-Geral do Trabalho</w:t>
      </w:r>
    </w:p>
    <w:p w14:paraId="20322F06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BRASILINO SANTOS RAMOS FÁBIO LEAL CARDOSO</w:t>
      </w:r>
    </w:p>
    <w:p w14:paraId="4042BCB1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Procurador-Chefe/PRT 10ª. Região Procurador do Trabalho</w:t>
      </w:r>
    </w:p>
    <w:p w14:paraId="5B4D9F07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MOACIR ANTONIO DA SILVA MACHADO</w:t>
      </w:r>
    </w:p>
    <w:p w14:paraId="4BDAA962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da União</w:t>
      </w:r>
    </w:p>
    <w:p w14:paraId="1EA0E647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HELIA MARIA DE OLIVEIRA BETTERO MÁRIO LUIZ GUERREIRO</w:t>
      </w:r>
    </w:p>
    <w:p w14:paraId="1DAEE4D2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Sub-Procuradora-Regional da União–1ª. Região Advogado da União</w:t>
      </w:r>
    </w:p>
    <w:p w14:paraId="598D1A83" w14:textId="77777777" w:rsidR="0030639D" w:rsidRDefault="0030639D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</w:p>
    <w:p w14:paraId="153F05B5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Testemunhas:</w:t>
      </w:r>
    </w:p>
    <w:p w14:paraId="2DCABCBC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GRIJALBO FERNANDES COUTINHO</w:t>
      </w:r>
    </w:p>
    <w:p w14:paraId="55B732D1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Magistrados</w:t>
      </w:r>
    </w:p>
    <w:p w14:paraId="70255071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da Justiça do Trabalho - ANAMATRA</w:t>
      </w:r>
    </w:p>
    <w:p w14:paraId="628BFB0E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PAULO SÉRGIO DOMINGUES</w:t>
      </w:r>
    </w:p>
    <w:p w14:paraId="2F2B399B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dos Juízes Federais</w:t>
      </w:r>
    </w:p>
    <w:p w14:paraId="284DA9E7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do Brasil - AJUFE</w:t>
      </w:r>
    </w:p>
    <w:p w14:paraId="467BDE68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REGINA BUTRUS</w:t>
      </w:r>
    </w:p>
    <w:p w14:paraId="19100D4E" w14:textId="77777777" w:rsidR="0030639D" w:rsidRDefault="00000000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Procuradores</w:t>
      </w:r>
    </w:p>
    <w:p w14:paraId="17DB34CB" w14:textId="77777777" w:rsidR="0030639D" w:rsidRDefault="00000000">
      <w:pPr>
        <w:spacing w:after="120"/>
        <w:ind w:left="500" w:right="227"/>
        <w:jc w:val="center"/>
      </w:pPr>
      <w:r>
        <w:rPr>
          <w:rFonts w:ascii="TTE4E87780t00" w:hAnsi="TTE4E87780t00" w:cs="TTE4E87780t00"/>
        </w:rPr>
        <w:t>do Trabalho – ANPT</w:t>
      </w:r>
    </w:p>
    <w:sectPr w:rsidR="0030639D">
      <w:headerReference w:type="default" r:id="rId6"/>
      <w:footerReference w:type="default" r:id="rId7"/>
      <w:type w:val="continuous"/>
      <w:pgSz w:w="11907" w:h="16840"/>
      <w:pgMar w:top="851" w:right="850" w:bottom="851" w:left="851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9029" w14:textId="77777777" w:rsidR="005B42D9" w:rsidRDefault="005B42D9">
      <w:r>
        <w:separator/>
      </w:r>
    </w:p>
  </w:endnote>
  <w:endnote w:type="continuationSeparator" w:id="0">
    <w:p w14:paraId="64CF3501" w14:textId="77777777" w:rsidR="005B42D9" w:rsidRDefault="005B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31A0A0t00">
    <w:altName w:val="Calibri"/>
    <w:charset w:val="00"/>
    <w:family w:val="auto"/>
    <w:pitch w:val="default"/>
    <w:sig w:usb0="00000000" w:usb1="00000000" w:usb2="00000000" w:usb3="00000000" w:csb0="00000001" w:csb1="00000000"/>
  </w:font>
  <w:font w:name="TTE4E87780t00">
    <w:altName w:val="Calibri"/>
    <w:charset w:val="00"/>
    <w:family w:val="auto"/>
    <w:pitch w:val="default"/>
    <w:sig w:usb0="00000000" w:usb1="00000000" w:usb2="00000000" w:usb3="00000000" w:csb0="00000001" w:csb1="00000000"/>
  </w:font>
  <w:font w:name="TTE4E9E668t00">
    <w:altName w:val="Calibri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248F" w14:textId="77777777" w:rsidR="0030639D" w:rsidRDefault="00000000">
    <w:pPr>
      <w:pStyle w:val="Rodap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Pág. </w:t>
    </w:r>
    <w:r>
      <w:rPr>
        <w:rStyle w:val="Nmerodepgina"/>
        <w:rFonts w:ascii="Verdana" w:hAnsi="Verdana"/>
        <w:sz w:val="18"/>
        <w:szCs w:val="18"/>
      </w:rPr>
      <w:fldChar w:fldCharType="begin"/>
    </w:r>
    <w:r>
      <w:rPr>
        <w:rStyle w:val="Nmerodepgina"/>
        <w:rFonts w:ascii="Verdana" w:hAnsi="Verdana"/>
        <w:sz w:val="18"/>
        <w:szCs w:val="18"/>
      </w:rPr>
      <w:instrText xml:space="preserve"> PAGE </w:instrText>
    </w:r>
    <w:r>
      <w:rPr>
        <w:rStyle w:val="Nmerodepgina"/>
        <w:rFonts w:ascii="Verdana" w:hAnsi="Verdana"/>
        <w:sz w:val="18"/>
        <w:szCs w:val="18"/>
      </w:rPr>
      <w:fldChar w:fldCharType="separate"/>
    </w:r>
    <w:r>
      <w:rPr>
        <w:rStyle w:val="Nmerodepgina"/>
        <w:rFonts w:ascii="Verdana" w:hAnsi="Verdana"/>
        <w:sz w:val="18"/>
        <w:szCs w:val="18"/>
      </w:rPr>
      <w:t>1</w:t>
    </w:r>
    <w:r>
      <w:rPr>
        <w:rStyle w:val="Nmerodepgina"/>
        <w:rFonts w:ascii="Verdana" w:hAnsi="Verdana"/>
        <w:sz w:val="18"/>
        <w:szCs w:val="18"/>
      </w:rPr>
      <w:fldChar w:fldCharType="end"/>
    </w:r>
    <w:r>
      <w:rPr>
        <w:rStyle w:val="Nmerodepgina"/>
        <w:rFonts w:ascii="Verdana" w:hAnsi="Verdana"/>
        <w:sz w:val="18"/>
        <w:szCs w:val="18"/>
      </w:rPr>
      <w:t>/</w:t>
    </w:r>
    <w:r>
      <w:rPr>
        <w:rStyle w:val="Nmerodepgina"/>
        <w:rFonts w:ascii="Verdana" w:hAnsi="Verdana"/>
        <w:sz w:val="18"/>
        <w:szCs w:val="18"/>
      </w:rPr>
      <w:fldChar w:fldCharType="begin"/>
    </w:r>
    <w:r>
      <w:rPr>
        <w:rStyle w:val="Nmerodepgina"/>
        <w:rFonts w:ascii="Verdana" w:hAnsi="Verdana"/>
        <w:sz w:val="18"/>
        <w:szCs w:val="18"/>
      </w:rPr>
      <w:instrText xml:space="preserve"> NUMPAGES </w:instrText>
    </w:r>
    <w:r>
      <w:rPr>
        <w:rStyle w:val="Nmerodepgina"/>
        <w:rFonts w:ascii="Verdana" w:hAnsi="Verdana"/>
        <w:sz w:val="18"/>
        <w:szCs w:val="18"/>
      </w:rPr>
      <w:fldChar w:fldCharType="separate"/>
    </w:r>
    <w:r>
      <w:rPr>
        <w:rStyle w:val="Nmerodepgina"/>
        <w:rFonts w:ascii="Verdana" w:hAnsi="Verdana"/>
        <w:sz w:val="18"/>
        <w:szCs w:val="18"/>
      </w:rPr>
      <w:t>4</w:t>
    </w:r>
    <w:r>
      <w:rPr>
        <w:rStyle w:val="Nmerodepgina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9105" w14:textId="77777777" w:rsidR="005B42D9" w:rsidRDefault="005B42D9">
      <w:r>
        <w:separator/>
      </w:r>
    </w:p>
  </w:footnote>
  <w:footnote w:type="continuationSeparator" w:id="0">
    <w:p w14:paraId="42231EF0" w14:textId="77777777" w:rsidR="005B42D9" w:rsidRDefault="005B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AE0F" w14:textId="77777777" w:rsidR="0030639D" w:rsidRDefault="00000000">
    <w:pPr>
      <w:pStyle w:val="Cabealho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Processo n.º 23069.152417/2023-62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11"/>
    <w:rsid w:val="0000760E"/>
    <w:rsid w:val="000421C0"/>
    <w:rsid w:val="0006060C"/>
    <w:rsid w:val="000812A5"/>
    <w:rsid w:val="000B7F4E"/>
    <w:rsid w:val="00106AE1"/>
    <w:rsid w:val="001218EE"/>
    <w:rsid w:val="001315D6"/>
    <w:rsid w:val="00151B2E"/>
    <w:rsid w:val="00172641"/>
    <w:rsid w:val="00173E1B"/>
    <w:rsid w:val="00190E3C"/>
    <w:rsid w:val="001A1161"/>
    <w:rsid w:val="001C198F"/>
    <w:rsid w:val="001D7F90"/>
    <w:rsid w:val="001E1F01"/>
    <w:rsid w:val="00203C9A"/>
    <w:rsid w:val="002220E1"/>
    <w:rsid w:val="00234E42"/>
    <w:rsid w:val="0027193E"/>
    <w:rsid w:val="00272694"/>
    <w:rsid w:val="00274871"/>
    <w:rsid w:val="002817CB"/>
    <w:rsid w:val="0029364D"/>
    <w:rsid w:val="002B7069"/>
    <w:rsid w:val="002B7646"/>
    <w:rsid w:val="002D2AB6"/>
    <w:rsid w:val="002D43CF"/>
    <w:rsid w:val="002D6AF4"/>
    <w:rsid w:val="0030639D"/>
    <w:rsid w:val="00321329"/>
    <w:rsid w:val="00323514"/>
    <w:rsid w:val="00391440"/>
    <w:rsid w:val="003B11F0"/>
    <w:rsid w:val="003E15B3"/>
    <w:rsid w:val="00462850"/>
    <w:rsid w:val="00490943"/>
    <w:rsid w:val="004C6111"/>
    <w:rsid w:val="004C6724"/>
    <w:rsid w:val="004D37D0"/>
    <w:rsid w:val="004D6AAB"/>
    <w:rsid w:val="004F0853"/>
    <w:rsid w:val="004F0990"/>
    <w:rsid w:val="00507FEB"/>
    <w:rsid w:val="005133D8"/>
    <w:rsid w:val="0051395B"/>
    <w:rsid w:val="00544124"/>
    <w:rsid w:val="00566C72"/>
    <w:rsid w:val="00583B99"/>
    <w:rsid w:val="005849FF"/>
    <w:rsid w:val="00593F25"/>
    <w:rsid w:val="005B42D9"/>
    <w:rsid w:val="005E16A2"/>
    <w:rsid w:val="005F5B01"/>
    <w:rsid w:val="00606497"/>
    <w:rsid w:val="00625964"/>
    <w:rsid w:val="00633EE8"/>
    <w:rsid w:val="006765BD"/>
    <w:rsid w:val="006767AE"/>
    <w:rsid w:val="006C344B"/>
    <w:rsid w:val="006E0379"/>
    <w:rsid w:val="00705221"/>
    <w:rsid w:val="00711236"/>
    <w:rsid w:val="00777AAE"/>
    <w:rsid w:val="00787221"/>
    <w:rsid w:val="007B4E6A"/>
    <w:rsid w:val="007D6D01"/>
    <w:rsid w:val="007F4959"/>
    <w:rsid w:val="007F7476"/>
    <w:rsid w:val="00802210"/>
    <w:rsid w:val="00817305"/>
    <w:rsid w:val="0082090E"/>
    <w:rsid w:val="0083073C"/>
    <w:rsid w:val="008A7E9B"/>
    <w:rsid w:val="008A7FC6"/>
    <w:rsid w:val="008B1EB9"/>
    <w:rsid w:val="008B636A"/>
    <w:rsid w:val="008D267C"/>
    <w:rsid w:val="008F5ED0"/>
    <w:rsid w:val="00910C62"/>
    <w:rsid w:val="00926B5F"/>
    <w:rsid w:val="009306D8"/>
    <w:rsid w:val="00931D50"/>
    <w:rsid w:val="009404B8"/>
    <w:rsid w:val="0096600C"/>
    <w:rsid w:val="0098505C"/>
    <w:rsid w:val="009C2015"/>
    <w:rsid w:val="009C2612"/>
    <w:rsid w:val="00A233C1"/>
    <w:rsid w:val="00A23884"/>
    <w:rsid w:val="00A25DAE"/>
    <w:rsid w:val="00A32286"/>
    <w:rsid w:val="00A4192B"/>
    <w:rsid w:val="00AA04E4"/>
    <w:rsid w:val="00AB3077"/>
    <w:rsid w:val="00AB50AB"/>
    <w:rsid w:val="00AF5572"/>
    <w:rsid w:val="00B019FB"/>
    <w:rsid w:val="00B031C6"/>
    <w:rsid w:val="00B10BBC"/>
    <w:rsid w:val="00B10DC9"/>
    <w:rsid w:val="00B32EFF"/>
    <w:rsid w:val="00B406B6"/>
    <w:rsid w:val="00B60E03"/>
    <w:rsid w:val="00B61346"/>
    <w:rsid w:val="00B61711"/>
    <w:rsid w:val="00BA08CB"/>
    <w:rsid w:val="00BD2623"/>
    <w:rsid w:val="00C5291D"/>
    <w:rsid w:val="00CE33B4"/>
    <w:rsid w:val="00CE7C3E"/>
    <w:rsid w:val="00D147C3"/>
    <w:rsid w:val="00D260DC"/>
    <w:rsid w:val="00D450F8"/>
    <w:rsid w:val="00D604FB"/>
    <w:rsid w:val="00D7104C"/>
    <w:rsid w:val="00D821AC"/>
    <w:rsid w:val="00DC0E45"/>
    <w:rsid w:val="00DC68D6"/>
    <w:rsid w:val="00DF084A"/>
    <w:rsid w:val="00E203D1"/>
    <w:rsid w:val="00E5524D"/>
    <w:rsid w:val="00E55655"/>
    <w:rsid w:val="00EB1722"/>
    <w:rsid w:val="00EE40AD"/>
    <w:rsid w:val="00F56666"/>
    <w:rsid w:val="00FA770B"/>
    <w:rsid w:val="00FB7533"/>
    <w:rsid w:val="00FC65B5"/>
    <w:rsid w:val="00FE21AB"/>
    <w:rsid w:val="71B8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97BB4"/>
  <w15:docId w15:val="{1A9FAC3A-3A14-4EFA-8D96-AA750975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1651</Words>
  <Characters>8921</Characters>
  <Application>Microsoft Office Word</Application>
  <DocSecurity>0</DocSecurity>
  <Lines>74</Lines>
  <Paragraphs>21</Paragraphs>
  <ScaleCrop>false</ScaleCrop>
  <Company>Universidade Federal Fluminense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 3</dc:creator>
  <cp:lastModifiedBy>Juliana Borsoi</cp:lastModifiedBy>
  <cp:revision>6</cp:revision>
  <cp:lastPrinted>2023-06-15T14:57:00Z</cp:lastPrinted>
  <dcterms:created xsi:type="dcterms:W3CDTF">2023-02-18T00:42:00Z</dcterms:created>
  <dcterms:modified xsi:type="dcterms:W3CDTF">2023-06-15T14:57:00Z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E487A7FE00EA422F847DDF71EE8FA2AC</vt:lpwstr>
  </property>
</Properties>
</file>