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8AF3" w14:textId="7010294E" w:rsidR="00146AC4" w:rsidRDefault="00997ED6" w:rsidP="00146AC4">
      <w:pPr>
        <w:pStyle w:val="Cabealho"/>
        <w:tabs>
          <w:tab w:val="clear" w:pos="4419"/>
          <w:tab w:val="clear" w:pos="8838"/>
          <w:tab w:val="left" w:pos="8340"/>
        </w:tabs>
      </w:pPr>
      <w:bookmarkStart w:id="0" w:name="_Hlk509777098"/>
      <w:bookmarkStart w:id="1" w:name="_Hlk50978095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5722696" wp14:editId="1EE83D08">
            <wp:simplePos x="0" y="0"/>
            <wp:positionH relativeFrom="column">
              <wp:posOffset>-144145</wp:posOffset>
            </wp:positionH>
            <wp:positionV relativeFrom="paragraph">
              <wp:posOffset>-314960</wp:posOffset>
            </wp:positionV>
            <wp:extent cx="898525" cy="483870"/>
            <wp:effectExtent l="0" t="0" r="0" b="0"/>
            <wp:wrapNone/>
            <wp:docPr id="1" name="Imagem 1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rPr>
          <w:noProof/>
        </w:rPr>
        <w:drawing>
          <wp:anchor distT="0" distB="0" distL="114300" distR="114300" simplePos="0" relativeHeight="251657216" behindDoc="0" locked="0" layoutInCell="1" allowOverlap="1" wp14:anchorId="31497412" wp14:editId="342258CB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640080" cy="619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tab/>
      </w:r>
    </w:p>
    <w:p w14:paraId="3E5086EF" w14:textId="77777777" w:rsidR="00146AC4" w:rsidRDefault="00146AC4" w:rsidP="00146AC4"/>
    <w:p w14:paraId="325565ED" w14:textId="77777777" w:rsidR="00146AC4" w:rsidRDefault="00146AC4" w:rsidP="00146AC4"/>
    <w:p w14:paraId="11340C8B" w14:textId="77777777" w:rsidR="00146AC4" w:rsidRDefault="00146AC4" w:rsidP="00146AC4"/>
    <w:p w14:paraId="14D1E300" w14:textId="77777777" w:rsidR="00146AC4" w:rsidRPr="00456DAD" w:rsidRDefault="00146AC4" w:rsidP="00146AC4">
      <w:pPr>
        <w:tabs>
          <w:tab w:val="left" w:pos="628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56DAD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INISTÉRIO DA EDUCAÇÃO</w:t>
      </w:r>
    </w:p>
    <w:p w14:paraId="52FE3ACF" w14:textId="77777777" w:rsidR="00146AC4" w:rsidRPr="00777603" w:rsidRDefault="00146AC4" w:rsidP="00146AC4">
      <w:pPr>
        <w:pStyle w:val="Ttulo1"/>
        <w:rPr>
          <w:rFonts w:ascii="Arial" w:hAnsi="Arial" w:cs="Arial"/>
          <w:sz w:val="20"/>
          <w:szCs w:val="20"/>
        </w:rPr>
      </w:pPr>
      <w:r w:rsidRPr="00777603">
        <w:rPr>
          <w:rFonts w:ascii="Arial" w:hAnsi="Arial" w:cs="Arial"/>
          <w:sz w:val="20"/>
          <w:szCs w:val="20"/>
        </w:rPr>
        <w:t>UNIVERSIDADE FEDERAL FLUMINENSE</w:t>
      </w:r>
    </w:p>
    <w:bookmarkEnd w:id="0"/>
    <w:p w14:paraId="180418F0" w14:textId="77777777" w:rsidR="00676FA4" w:rsidRPr="00E5719D" w:rsidRDefault="00676FA4" w:rsidP="00676F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 REITORIA DE ADMINISTRAÇÃO</w:t>
      </w:r>
    </w:p>
    <w:p w14:paraId="0FDDAC44" w14:textId="77777777" w:rsidR="00146AC4" w:rsidRDefault="00146AC4" w:rsidP="00146AC4">
      <w:pPr>
        <w:rPr>
          <w:sz w:val="22"/>
        </w:rPr>
      </w:pPr>
    </w:p>
    <w:p w14:paraId="48224372" w14:textId="073BFE7B" w:rsidR="00146AC4" w:rsidRPr="00F60A70" w:rsidRDefault="00146AC4" w:rsidP="00146AC4">
      <w:pPr>
        <w:pStyle w:val="Ttulo1"/>
        <w:shd w:val="clear" w:color="auto" w:fill="E7E6E6"/>
        <w:rPr>
          <w:rFonts w:asciiTheme="minorHAnsi" w:hAnsiTheme="minorHAnsi" w:cstheme="minorHAnsi"/>
          <w:sz w:val="22"/>
          <w:szCs w:val="22"/>
        </w:rPr>
      </w:pPr>
      <w:r w:rsidRPr="00F60A70">
        <w:rPr>
          <w:rFonts w:asciiTheme="minorHAnsi" w:hAnsiTheme="minorHAnsi" w:cstheme="minorHAnsi"/>
          <w:sz w:val="22"/>
          <w:szCs w:val="22"/>
        </w:rPr>
        <w:t xml:space="preserve">ANEXO </w:t>
      </w:r>
      <w:r w:rsidR="003811FD" w:rsidRPr="00F60A70">
        <w:rPr>
          <w:rFonts w:asciiTheme="minorHAnsi" w:hAnsiTheme="minorHAnsi" w:cstheme="minorHAnsi"/>
          <w:sz w:val="22"/>
          <w:szCs w:val="22"/>
        </w:rPr>
        <w:t>III</w:t>
      </w:r>
      <w:r w:rsidR="00777603" w:rsidRPr="00F60A70">
        <w:rPr>
          <w:rFonts w:asciiTheme="minorHAnsi" w:hAnsiTheme="minorHAnsi" w:cstheme="minorHAnsi"/>
          <w:sz w:val="22"/>
          <w:szCs w:val="22"/>
        </w:rPr>
        <w:t xml:space="preserve"> </w:t>
      </w:r>
      <w:r w:rsidRPr="00F60A70">
        <w:rPr>
          <w:rFonts w:asciiTheme="minorHAnsi" w:hAnsiTheme="minorHAnsi" w:cstheme="minorHAnsi"/>
          <w:sz w:val="22"/>
          <w:szCs w:val="22"/>
        </w:rPr>
        <w:t>– INSTRUMENTO DE MEDIÇÃO DE RESULTADO</w:t>
      </w:r>
    </w:p>
    <w:p w14:paraId="65824008" w14:textId="77777777" w:rsidR="00146AC4" w:rsidRPr="00F60A70" w:rsidRDefault="00146AC4" w:rsidP="00146AC4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sz w:val="22"/>
          <w:szCs w:val="22"/>
          <w:lang w:val="x-none"/>
        </w:rPr>
      </w:pPr>
    </w:p>
    <w:bookmarkEnd w:id="1"/>
    <w:p w14:paraId="44ABEE82" w14:textId="03D12A20" w:rsidR="00DD5D63" w:rsidRPr="00F60A70" w:rsidRDefault="005913FE" w:rsidP="003C2ACF">
      <w:pPr>
        <w:pStyle w:val="PargrafodaLista"/>
        <w:tabs>
          <w:tab w:val="left" w:pos="426"/>
        </w:tabs>
        <w:spacing w:line="276" w:lineRule="auto"/>
        <w:ind w:left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70">
        <w:rPr>
          <w:rFonts w:asciiTheme="minorHAnsi" w:eastAsia="Arial Unicode MS" w:hAnsiTheme="minorHAnsi" w:cstheme="minorHAnsi"/>
          <w:b/>
          <w:sz w:val="22"/>
          <w:szCs w:val="22"/>
        </w:rPr>
        <w:t>INSTRUMENTO DE MEDIÇÃO DE RESULTADOS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DE ATIVIDADES D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E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MÃO DE OBRA PARA SERVIÇOS CONTINUADOS DE NA UNIVERSIDADE FEDERAL FLUMINENSE</w:t>
      </w:r>
    </w:p>
    <w:p w14:paraId="12E9BD6F" w14:textId="77777777" w:rsidR="00DD5D63" w:rsidRPr="00F60A70" w:rsidRDefault="00DD5D63" w:rsidP="003C2ACF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C14F463" w14:textId="77777777" w:rsidR="00DD5D63" w:rsidRPr="003C2ACF" w:rsidRDefault="00DD5D63" w:rsidP="003C2ACF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C2ACF">
        <w:rPr>
          <w:rFonts w:asciiTheme="minorHAnsi" w:eastAsia="Arial Unicode MS" w:hAnsiTheme="minorHAnsi" w:cstheme="minorHAnsi"/>
          <w:b/>
          <w:sz w:val="22"/>
          <w:szCs w:val="22"/>
        </w:rPr>
        <w:t>INTRODUÇÃO</w:t>
      </w:r>
    </w:p>
    <w:p w14:paraId="009617C2" w14:textId="77777777" w:rsidR="00C6037F" w:rsidRPr="003C2ACF" w:rsidRDefault="00C6037F" w:rsidP="003C2ACF">
      <w:pPr>
        <w:pStyle w:val="PargrafodaLista"/>
        <w:tabs>
          <w:tab w:val="left" w:pos="0"/>
        </w:tabs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997AA2B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IMR é, conforme Instrução Normativa nº 05 de 2017, o “mecanismo que define, em bases compreensíveis, tangíveis, objetivamente observáveis e comprováveis, os níveis esperados de qualidade da prestação do serviço e respectivas adequações de pagamento” para os serviços prestados.</w:t>
      </w:r>
    </w:p>
    <w:p w14:paraId="124AC8C5" w14:textId="77777777" w:rsidR="003C2ACF" w:rsidRP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Fiscalização Técnica medirá a eficiência da execução contratual em função de indicadores referenciais descritos a seguir como atividades críticas do contrato, que são critérios objetivos e mensuráveis estabelecidos com a finalidade de aferir e avaliar diversos fatores relacionados com os serviços contratados, quais sejam: qualidade, desempenho e disponibilidade de uso. </w:t>
      </w:r>
    </w:p>
    <w:p w14:paraId="6A91FF30" w14:textId="77777777" w:rsidR="003C2ACF" w:rsidRP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mensurar esses fatores serão utilizados indicadores relacionados com a natureza e características dos itens contratados, para os quais foi estabelecida meta quantificável a ser cumprida pela CONTRATADA. Esses indicadores são expressos em unidades de medida exata e claramente mensuráveis visando o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Cumprimento de Metas Técnicas Contratuais.</w:t>
      </w:r>
    </w:p>
    <w:p w14:paraId="3E0D649C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aferição e avaliação dos indicadores serão feitas a cada medição/faturamento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devendo a Contratada apresentá-lo dentro do Relatório de Medição. Devem constar dentro deste relatório o indicador e meta de níveis de serviço alcançado. O conteúdo detalhado e a forma da apresentação serão definidos pelas partes. </w:t>
      </w:r>
    </w:p>
    <w:p w14:paraId="2DB55061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 primeiros 90 (noventa) dias, após o início da execução dos serviços serão considerados como período de estabilização, durante o qual a Contratada deverá proceder a todos os ajustes que se mostrarem necessários, bem como nos procedimentos adotados e demais aspectos da prestação dos serviços, de modo a assegurar o alcance dos níveis das metas estabelecidos. Caso haja prorrogação da vigência contratual, não haverá novo período de estabilização. </w:t>
      </w:r>
    </w:p>
    <w:p w14:paraId="6FB290FF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função do dito acima,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será aplicada um método de carência sobre a aplicação das metas nos primeiros 90 (noventa) dias do contrato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conforme metodologia explicitada a seguir.</w:t>
      </w:r>
    </w:p>
    <w:p w14:paraId="55D80C00" w14:textId="77777777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1º mês de execução contratual: cobrança de 50% das metas;</w:t>
      </w:r>
    </w:p>
    <w:p w14:paraId="5D25CD23" w14:textId="28C3E109" w:rsidR="003C2ACF" w:rsidRP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2º mês de execução contratual: cobrança de 70% das metas;</w:t>
      </w:r>
    </w:p>
    <w:p w14:paraId="7C715E6F" w14:textId="783D279E" w:rsidR="003C2ACF" w:rsidRP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3º mês de execução contratual: cobrança de 90% das metas;</w:t>
      </w:r>
    </w:p>
    <w:p w14:paraId="690FFB68" w14:textId="63097243" w:rsidR="003C2ACF" w:rsidRPr="003C2ACF" w:rsidRDefault="003C2ACF" w:rsidP="003C2ACF">
      <w:pPr>
        <w:pStyle w:val="PargrafodaLista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a partir do 4º mês de execução contratual serão cobradas 100% das metas.</w:t>
      </w:r>
    </w:p>
    <w:p w14:paraId="7A7B905D" w14:textId="715E472E" w:rsidR="003C2ACF" w:rsidRPr="003C2ACF" w:rsidRDefault="003C2ACF" w:rsidP="003C2ACF">
      <w:pPr>
        <w:pStyle w:val="PargrafodaLista"/>
        <w:tabs>
          <w:tab w:val="left" w:pos="0"/>
        </w:tabs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15798A" w14:textId="77777777" w:rsidR="003C2ACF" w:rsidRDefault="003C2ACF" w:rsidP="003C2ACF">
      <w:pPr>
        <w:pStyle w:val="PargrafodaLista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Indicador e Parâmetros de Cálculo do IMR</w:t>
      </w:r>
    </w:p>
    <w:p w14:paraId="708CC9B6" w14:textId="77777777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indicador, metas, faixas de adequação e percentuais de glosa aplicáveis são estabelecidos na Tabela de Cálculo do IMR a seguir, que define os percentuais esperados, em função de meta </w:t>
      </w:r>
      <w:proofErr w:type="spellStart"/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pré</w:t>
      </w:r>
      <w:proofErr w:type="spellEnd"/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estabelecida, e os percentuais de desconto no valor mensal do contrato a ser pago a CONTRATADA, no caso destes índices não serem alcançados.</w:t>
      </w:r>
    </w:p>
    <w:p w14:paraId="48DD923E" w14:textId="7A0BEDE9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Foram considerados críticos e alinhados diretamente com o objetivo do contrato os seguintes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indicadores e metas mensais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6B2EDE5" w14:textId="77777777" w:rsidR="003C2ACF" w:rsidRPr="003C2ACF" w:rsidRDefault="003C2ACF" w:rsidP="003C2ACF">
      <w:pPr>
        <w:pStyle w:val="PargrafodaLista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71AEF8" w14:textId="4BAB2653" w:rsidR="003C2ACF" w:rsidRDefault="003C2ACF" w:rsidP="003C2ACF">
      <w:pPr>
        <w:tabs>
          <w:tab w:val="left" w:pos="0"/>
        </w:tabs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684"/>
        <w:gridCol w:w="2288"/>
        <w:gridCol w:w="2126"/>
        <w:gridCol w:w="2459"/>
      </w:tblGrid>
      <w:tr w:rsidR="003C2ACF" w14:paraId="07E1F271" w14:textId="77777777" w:rsidTr="003C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01224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88" w:type="dxa"/>
            <w:hideMark/>
          </w:tcPr>
          <w:p w14:paraId="6FA4CFA8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2126" w:type="dxa"/>
            <w:hideMark/>
          </w:tcPr>
          <w:p w14:paraId="20BF6568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2459" w:type="dxa"/>
            <w:hideMark/>
          </w:tcPr>
          <w:p w14:paraId="69A2068B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METAS PARA CADA MEDIÇÃO</w:t>
            </w:r>
          </w:p>
        </w:tc>
      </w:tr>
      <w:tr w:rsidR="003C2ACF" w14:paraId="1101AA52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021E9AC4" w14:textId="77777777" w:rsidR="003C2ACF" w:rsidRDefault="003C2AC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8" w:type="dxa"/>
            <w:vMerge w:val="restart"/>
            <w:hideMark/>
          </w:tcPr>
          <w:p w14:paraId="6B241024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Pontualidade na entrega do Relatório Técnico Mensal</w:t>
            </w:r>
          </w:p>
        </w:tc>
        <w:tc>
          <w:tcPr>
            <w:tcW w:w="2126" w:type="dxa"/>
            <w:vMerge w:val="restart"/>
            <w:hideMark/>
          </w:tcPr>
          <w:p w14:paraId="618C251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Dias úteis de Atraso em relação ao prazo estabelecido</w:t>
            </w:r>
          </w:p>
        </w:tc>
        <w:tc>
          <w:tcPr>
            <w:tcW w:w="2459" w:type="dxa"/>
            <w:vMerge w:val="restart"/>
            <w:hideMark/>
          </w:tcPr>
          <w:p w14:paraId="58780FC4" w14:textId="5BB305ED" w:rsidR="003C2ACF" w:rsidRDefault="003C2ACF" w:rsidP="003C2A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Até o 5º dia útil do mês subsequente</w:t>
            </w:r>
          </w:p>
        </w:tc>
      </w:tr>
      <w:tr w:rsidR="003C2ACF" w14:paraId="479F81C4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EFD6A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70A3D07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ED3FB26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2556D73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5F6C90F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D42261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7DBB99F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10F7F1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6A8C4D48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5F876381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8C10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364C639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6C1544FB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7044DF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F36E969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68012B1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8" w:type="dxa"/>
            <w:vMerge w:val="restart"/>
            <w:hideMark/>
          </w:tcPr>
          <w:p w14:paraId="0FDF32C1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Eventos por Equipamento</w:t>
            </w:r>
          </w:p>
        </w:tc>
        <w:tc>
          <w:tcPr>
            <w:tcW w:w="2126" w:type="dxa"/>
            <w:vMerge w:val="restart"/>
            <w:noWrap/>
            <w:hideMark/>
          </w:tcPr>
          <w:p w14:paraId="00AAD355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Eventos Por mês</w:t>
            </w:r>
          </w:p>
        </w:tc>
        <w:tc>
          <w:tcPr>
            <w:tcW w:w="2459" w:type="dxa"/>
            <w:vMerge w:val="restart"/>
            <w:hideMark/>
          </w:tcPr>
          <w:p w14:paraId="347A26B7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Eventos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</w:tr>
      <w:tr w:rsidR="003C2ACF" w14:paraId="414D5777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8A53E0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64A81EB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1366DE4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6C691AD5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59C193C8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F21513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4C3479E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14364A9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1D98138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4F264784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24F49A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66CA72D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FA5CD1E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16BAFE9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FB22F09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0A927989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8" w:type="dxa"/>
            <w:vMerge w:val="restart"/>
            <w:hideMark/>
          </w:tcPr>
          <w:p w14:paraId="304D236F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Paralisações por Equipamento</w:t>
            </w:r>
          </w:p>
        </w:tc>
        <w:tc>
          <w:tcPr>
            <w:tcW w:w="2126" w:type="dxa"/>
            <w:vMerge w:val="restart"/>
            <w:hideMark/>
          </w:tcPr>
          <w:p w14:paraId="1A5528AD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Paralisações por mês</w:t>
            </w:r>
          </w:p>
        </w:tc>
        <w:tc>
          <w:tcPr>
            <w:tcW w:w="2459" w:type="dxa"/>
            <w:vMerge w:val="restart"/>
            <w:hideMark/>
          </w:tcPr>
          <w:p w14:paraId="5006360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2 Paralisações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</w:tr>
      <w:tr w:rsidR="003C2ACF" w14:paraId="70336DA0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1C3325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86E93FD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353011B9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1024C49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65D61055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001785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5372FDD2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D80350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3A806AF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E84098A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03D803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326BC68C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6BACAE2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5AA28222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2C3D3D1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6A6EC4BA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8" w:type="dxa"/>
            <w:vMerge w:val="restart"/>
            <w:hideMark/>
          </w:tcPr>
          <w:p w14:paraId="367E0C5B" w14:textId="305F5335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Retirada de passageiros presos com espera maior que 30 minutos após chamado </w:t>
            </w:r>
          </w:p>
        </w:tc>
        <w:tc>
          <w:tcPr>
            <w:tcW w:w="2126" w:type="dxa"/>
            <w:vMerge w:val="restart"/>
            <w:hideMark/>
          </w:tcPr>
          <w:p w14:paraId="1CACD168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Atrasos por mês</w:t>
            </w:r>
          </w:p>
        </w:tc>
        <w:tc>
          <w:tcPr>
            <w:tcW w:w="2459" w:type="dxa"/>
            <w:vMerge w:val="restart"/>
            <w:hideMark/>
          </w:tcPr>
          <w:p w14:paraId="2CEA4E2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</w:tr>
      <w:tr w:rsidR="003C2ACF" w14:paraId="01D2ED72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DA1CB9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630B874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4C520743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1ED65F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67C9C9D4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3EBE58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5BD2372E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A9BCB4A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35D2B14C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1A8BBF6B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350C69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0CE09E3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022D01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7295E4F5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69159FE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089188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767ED7AB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B24B926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4ADFD4B9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F33E144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136470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A50BF80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6CF5C0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7C0B602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0A96AF94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455B96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7B5A99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F38AAC0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2BFB62D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EA1DFB" w14:textId="77777777" w:rsidR="003C2ACF" w:rsidRPr="003C2ACF" w:rsidRDefault="003C2ACF" w:rsidP="003C2ACF">
      <w:pPr>
        <w:tabs>
          <w:tab w:val="left" w:pos="0"/>
        </w:tabs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AF43DDE" w14:textId="77777777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Notas:</w:t>
      </w:r>
    </w:p>
    <w:p w14:paraId="28A53407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relatório técnico é um item contratual e de responsabilidade técnica, por isso, considerado condição básica para atendimento ao contrato. </w:t>
      </w:r>
    </w:p>
    <w:p w14:paraId="1BC08694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Evento é qualquer falha que ocorra com o equipamento que não inviabilize seu funcionamento e/ou que não o mantenha parado por mais de 24 horas. Ex. Lâmpada queimada, botoeira em mau contato, porta raspando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no piso, etc. Em caso de um contrato ter mais de um equipamento, tal índice será a contabilização de todas as ocorrências mensais divididas pela quantidade de equipamentos do mesmo item contratual.</w:t>
      </w:r>
    </w:p>
    <w:p w14:paraId="146844C2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Paralisação é qualquer falha que ocorra com o equipamento que inviabilize a operação por mais de 24 horas.</w:t>
      </w:r>
    </w:p>
    <w:p w14:paraId="384C838E" w14:textId="05850965" w:rsidR="003C2ACF" w:rsidRP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Eventos de Atrasos a Retirada de Passageiros é uma espera maior que os períodos de espera para retirada de passageiros presos estabelecidos em função das necessidades da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UFF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variam em função dos horários estabelecidos no item 7.3.d deste documento.</w:t>
      </w:r>
    </w:p>
    <w:p w14:paraId="5849C699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A5FA996" w14:textId="30B347E2" w:rsidR="003C2ACF" w:rsidRPr="003C2ACF" w:rsidRDefault="003C2ACF" w:rsidP="003C2ACF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Metodologia de Cálculo do IMR</w:t>
      </w:r>
    </w:p>
    <w:p w14:paraId="500F2881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2.1.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IMR – Instrumento de Medição de Resultados será calculado a partir da tabela a seguir: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7BF9E47" w14:textId="77777777" w:rsidR="003C2ACF" w:rsidRDefault="003C2ACF" w:rsidP="003C2ACF">
      <w:pPr>
        <w:pStyle w:val="PargrafodaLista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É desejado que a Contratada atinja a faixa de adequação “A” para todas as medições mensais consideradas, caracterizando o atingimento da meta preestabelecida e, consequentemente, não ensejando qualquer desconto.</w:t>
      </w:r>
    </w:p>
    <w:p w14:paraId="45F5E211" w14:textId="2D27C284" w:rsidR="003C2ACF" w:rsidRDefault="003C2ACF" w:rsidP="003C2ACF">
      <w:pPr>
        <w:pStyle w:val="PargrafodaLista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 IMR será calculado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em função do percentual de atendimento às metas, conforme tabela do item a seguir. Caso não seja atingido o nível de execução esperado para o escopo de fornecimento, a empresa CONTRATADA terá desconto no valor a ser pago mensalmente pela CONTRATANTE.</w:t>
      </w:r>
    </w:p>
    <w:p w14:paraId="695E08AF" w14:textId="77777777" w:rsidR="003C2ACF" w:rsidRPr="003C2ACF" w:rsidRDefault="003C2ACF" w:rsidP="003C2AC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05"/>
        <w:gridCol w:w="2552"/>
        <w:gridCol w:w="1843"/>
        <w:gridCol w:w="76"/>
        <w:gridCol w:w="774"/>
        <w:gridCol w:w="137"/>
        <w:gridCol w:w="1103"/>
        <w:gridCol w:w="77"/>
        <w:gridCol w:w="693"/>
        <w:gridCol w:w="45"/>
      </w:tblGrid>
      <w:tr w:rsidR="003C2ACF" w14:paraId="12A87C61" w14:textId="77777777" w:rsidTr="003C2ACF">
        <w:trPr>
          <w:trHeight w:val="300"/>
        </w:trPr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2D5E" w14:textId="77777777" w:rsidR="003C2ACF" w:rsidRPr="003C2ACF" w:rsidRDefault="003C2ACF" w:rsidP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Tabela de Cálculo do IMR - Instrumento de Medição de Resultados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66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B06503" w14:textId="77B3B3E1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F336" w14:textId="77777777" w:rsidR="003C2ACF" w:rsidRDefault="003C2ACF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7A1" w14:textId="77777777" w:rsidR="003C2ACF" w:rsidRDefault="003C2ACF">
            <w:pPr>
              <w:rPr>
                <w:sz w:val="20"/>
                <w:szCs w:val="20"/>
              </w:rPr>
            </w:pPr>
          </w:p>
        </w:tc>
      </w:tr>
      <w:tr w:rsidR="003C2ACF" w14:paraId="627569E7" w14:textId="77777777" w:rsidTr="003C2ACF">
        <w:trPr>
          <w:gridAfter w:val="1"/>
          <w:wAfter w:w="45" w:type="dxa"/>
          <w:trHeight w:val="12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B85440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85123D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1972B9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52DE66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PARA CADA MEDIÇÃO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2ADBEE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FAIXA DE ADEQUAÇÃO DO INDICADOR (I)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43EA03" w14:textId="77777777" w:rsidR="003C2ACF" w:rsidRDefault="003C2ACF" w:rsidP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DO IMR</w:t>
            </w:r>
          </w:p>
        </w:tc>
      </w:tr>
      <w:tr w:rsidR="003C2ACF" w14:paraId="59CB5F52" w14:textId="77777777" w:rsidTr="003C2ACF">
        <w:trPr>
          <w:gridAfter w:val="1"/>
          <w:wAfter w:w="45" w:type="dxa"/>
          <w:trHeight w:val="12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393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461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Pontualidade na entrega do Relatório Técnico Mensal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3F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Dias úteis de Atraso em relação ao prazo estabelecido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DD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(zero) dias de atraso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5A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51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atraso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53F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776C5A90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A0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BEA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5FF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94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3B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4D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1 até 5 dias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60C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6962FBB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3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78B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39B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7D9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A7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E0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5 até 10 dias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C6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6DC06286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913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EC5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3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1A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9E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31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10 dias atraso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6B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64FD658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A9CA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EA5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Eventos por Equipamento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59F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Eventos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21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Eventos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E6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5D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E9D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05AE2345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EA9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C16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73B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2C5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50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F6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3 até 5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700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2F480EB5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C07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84F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578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387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856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53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5 até 7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A788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2F861180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0AC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42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8A5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FC5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DF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B3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7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2CF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37612B7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08B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48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Paralisações por Equipamento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02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Paralisações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152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2 Paralisações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41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08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2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3DC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62D97FF6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451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00B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F86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360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35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42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2 até 4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A0B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514E2B78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3A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24A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1FB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602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79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20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4 até 6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EAA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4FD5E07C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10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824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68A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DBD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C5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C2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6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0E8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5C3B4EB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47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E1D" w14:textId="5407D23F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Retirada de passageiros presos com espera maior que 30 minutos após chamado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54D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Atrasos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1D9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9AB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D2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56F2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3E0B7E92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A34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1B6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4B1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7C0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90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31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1 até 2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482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100C29F1" w14:textId="77777777" w:rsidTr="003C2ACF">
        <w:trPr>
          <w:gridAfter w:val="1"/>
          <w:wAfter w:w="45" w:type="dxa"/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DE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0E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4EE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FFE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6A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D0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80A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4CFC58AD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20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E78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D1E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622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67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E8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3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7A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</w:tbl>
    <w:p w14:paraId="3258B57A" w14:textId="4B291CA4" w:rsidR="003C2ACF" w:rsidRDefault="003C2ACF" w:rsidP="003C2ACF">
      <w:pPr>
        <w:pStyle w:val="PargrafodaLista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33CA27D" w14:textId="77777777" w:rsidR="003C2ACF" w:rsidRDefault="003C2ACF" w:rsidP="003C2ACF">
      <w:pPr>
        <w:pStyle w:val="PargrafodaLista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7B5B03D" w14:textId="77777777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NOTAS:</w:t>
      </w:r>
    </w:p>
    <w:p w14:paraId="7ACD6CAD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desconto realizado em função do IMR não impede outras penalidades por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descumprimentos contratuais de aspectos não relacionados ao mesmo.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0A1FC84" w14:textId="6A9B5846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Deverão ser descontadas do cálculo IMR os itens previstos não executados por falta da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Contratante e/ou de ações alheias à capacidade de atuação da Contratada, conforme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julgamento da Fiscalização do Contrato.</w:t>
      </w:r>
    </w:p>
    <w:sectPr w:rsidR="003C2ACF" w:rsidRPr="003C2ACF" w:rsidSect="003C2ACF">
      <w:footerReference w:type="default" r:id="rId10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65A" w14:textId="77777777" w:rsidR="005208FD" w:rsidRDefault="005208FD" w:rsidP="00A116FB">
      <w:r>
        <w:separator/>
      </w:r>
    </w:p>
  </w:endnote>
  <w:endnote w:type="continuationSeparator" w:id="0">
    <w:p w14:paraId="3A64BC9C" w14:textId="77777777" w:rsidR="005208FD" w:rsidRDefault="005208FD" w:rsidP="00A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159" w14:textId="229EDA09" w:rsidR="005E4DB5" w:rsidRPr="005E4DB5" w:rsidRDefault="004C7509">
    <w:pPr>
      <w:pStyle w:val="Rodap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fldChar w:fldCharType="begin"/>
    </w:r>
    <w:r>
      <w:rPr>
        <w:rFonts w:asciiTheme="minorHAnsi" w:hAnsiTheme="minorHAnsi" w:cstheme="minorHAnsi"/>
        <w:i/>
        <w:iCs/>
        <w:sz w:val="20"/>
        <w:szCs w:val="20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20"/>
        <w:szCs w:val="20"/>
      </w:rPr>
      <w:fldChar w:fldCharType="separate"/>
    </w:r>
    <w:r w:rsidR="00A31CDC">
      <w:rPr>
        <w:rFonts w:asciiTheme="minorHAnsi" w:hAnsiTheme="minorHAnsi" w:cstheme="minorHAnsi"/>
        <w:i/>
        <w:iCs/>
        <w:noProof/>
        <w:sz w:val="20"/>
        <w:szCs w:val="20"/>
      </w:rPr>
      <w:t>Anexo III - PE XX.2023 IMR</w:t>
    </w:r>
    <w:r>
      <w:rPr>
        <w:rFonts w:asciiTheme="minorHAnsi" w:hAnsiTheme="minorHAnsi" w:cstheme="minorHAnsi"/>
        <w:i/>
        <w:iCs/>
        <w:sz w:val="20"/>
        <w:szCs w:val="20"/>
      </w:rPr>
      <w:fldChar w:fldCharType="end"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034" w14:textId="77777777" w:rsidR="005208FD" w:rsidRDefault="005208FD" w:rsidP="00A116FB">
      <w:r>
        <w:separator/>
      </w:r>
    </w:p>
  </w:footnote>
  <w:footnote w:type="continuationSeparator" w:id="0">
    <w:p w14:paraId="74BA9C02" w14:textId="77777777" w:rsidR="005208FD" w:rsidRDefault="005208FD" w:rsidP="00A1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546"/>
    <w:multiLevelType w:val="hybridMultilevel"/>
    <w:tmpl w:val="E9423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20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91F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B47311"/>
    <w:multiLevelType w:val="hybridMultilevel"/>
    <w:tmpl w:val="5CDE4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2B71"/>
    <w:multiLevelType w:val="hybridMultilevel"/>
    <w:tmpl w:val="33B29EFA"/>
    <w:lvl w:ilvl="0" w:tplc="0E5C40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6206F"/>
    <w:multiLevelType w:val="multilevel"/>
    <w:tmpl w:val="F9B8CC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63600"/>
    <w:multiLevelType w:val="hybridMultilevel"/>
    <w:tmpl w:val="CA96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016"/>
    <w:multiLevelType w:val="multilevel"/>
    <w:tmpl w:val="CED8C7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07027"/>
    <w:multiLevelType w:val="hybridMultilevel"/>
    <w:tmpl w:val="9E64C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203F"/>
    <w:multiLevelType w:val="hybridMultilevel"/>
    <w:tmpl w:val="19BCB39E"/>
    <w:lvl w:ilvl="0" w:tplc="B4302D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C455C"/>
    <w:multiLevelType w:val="hybridMultilevel"/>
    <w:tmpl w:val="4816DEF8"/>
    <w:lvl w:ilvl="0" w:tplc="D68EAC6C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CD3D72"/>
    <w:multiLevelType w:val="hybridMultilevel"/>
    <w:tmpl w:val="A3486B6A"/>
    <w:lvl w:ilvl="0" w:tplc="C3F8AE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4B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894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592784"/>
    <w:multiLevelType w:val="multilevel"/>
    <w:tmpl w:val="D6446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D3978"/>
    <w:multiLevelType w:val="multilevel"/>
    <w:tmpl w:val="CED8C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D57F06"/>
    <w:multiLevelType w:val="hybridMultilevel"/>
    <w:tmpl w:val="A9FCD51C"/>
    <w:lvl w:ilvl="0" w:tplc="4D9CC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BA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925BBC"/>
    <w:multiLevelType w:val="multilevel"/>
    <w:tmpl w:val="C31C7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39764B"/>
    <w:multiLevelType w:val="hybridMultilevel"/>
    <w:tmpl w:val="2E025388"/>
    <w:lvl w:ilvl="0" w:tplc="11A43D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B916D7"/>
    <w:multiLevelType w:val="hybridMultilevel"/>
    <w:tmpl w:val="BB0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F0E"/>
    <w:multiLevelType w:val="hybridMultilevel"/>
    <w:tmpl w:val="451CC440"/>
    <w:lvl w:ilvl="0" w:tplc="B11873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34502595">
    <w:abstractNumId w:val="10"/>
  </w:num>
  <w:num w:numId="2" w16cid:durableId="1542981066">
    <w:abstractNumId w:val="11"/>
  </w:num>
  <w:num w:numId="3" w16cid:durableId="1624995370">
    <w:abstractNumId w:val="18"/>
  </w:num>
  <w:num w:numId="4" w16cid:durableId="1845512330">
    <w:abstractNumId w:val="12"/>
  </w:num>
  <w:num w:numId="5" w16cid:durableId="558248567">
    <w:abstractNumId w:val="1"/>
  </w:num>
  <w:num w:numId="6" w16cid:durableId="1383141711">
    <w:abstractNumId w:val="14"/>
  </w:num>
  <w:num w:numId="7" w16cid:durableId="1032074301">
    <w:abstractNumId w:val="17"/>
  </w:num>
  <w:num w:numId="8" w16cid:durableId="148837477">
    <w:abstractNumId w:val="13"/>
  </w:num>
  <w:num w:numId="9" w16cid:durableId="997030895">
    <w:abstractNumId w:val="2"/>
  </w:num>
  <w:num w:numId="10" w16cid:durableId="1803814904">
    <w:abstractNumId w:val="6"/>
  </w:num>
  <w:num w:numId="11" w16cid:durableId="1348407135">
    <w:abstractNumId w:val="8"/>
  </w:num>
  <w:num w:numId="12" w16cid:durableId="1917933601">
    <w:abstractNumId w:val="3"/>
  </w:num>
  <w:num w:numId="13" w16cid:durableId="1335180098">
    <w:abstractNumId w:val="0"/>
  </w:num>
  <w:num w:numId="14" w16cid:durableId="1191409631">
    <w:abstractNumId w:val="19"/>
  </w:num>
  <w:num w:numId="15" w16cid:durableId="1940018158">
    <w:abstractNumId w:val="16"/>
  </w:num>
  <w:num w:numId="16" w16cid:durableId="1576162551">
    <w:abstractNumId w:val="9"/>
  </w:num>
  <w:num w:numId="17" w16cid:durableId="984628081">
    <w:abstractNumId w:val="4"/>
  </w:num>
  <w:num w:numId="18" w16cid:durableId="634795613">
    <w:abstractNumId w:val="21"/>
  </w:num>
  <w:num w:numId="19" w16cid:durableId="1036807260">
    <w:abstractNumId w:val="20"/>
  </w:num>
  <w:num w:numId="20" w16cid:durableId="1830244167">
    <w:abstractNumId w:val="5"/>
  </w:num>
  <w:num w:numId="21" w16cid:durableId="785588143">
    <w:abstractNumId w:val="15"/>
  </w:num>
  <w:num w:numId="22" w16cid:durableId="860826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C4"/>
    <w:rsid w:val="00004E30"/>
    <w:rsid w:val="000239F4"/>
    <w:rsid w:val="0003130F"/>
    <w:rsid w:val="0003496D"/>
    <w:rsid w:val="000523CA"/>
    <w:rsid w:val="00106F74"/>
    <w:rsid w:val="001149FE"/>
    <w:rsid w:val="00125AF5"/>
    <w:rsid w:val="001347A0"/>
    <w:rsid w:val="00146AC4"/>
    <w:rsid w:val="00150B06"/>
    <w:rsid w:val="00153CB1"/>
    <w:rsid w:val="00185559"/>
    <w:rsid w:val="001E33C4"/>
    <w:rsid w:val="00232D24"/>
    <w:rsid w:val="002764D1"/>
    <w:rsid w:val="002D315C"/>
    <w:rsid w:val="002E3C88"/>
    <w:rsid w:val="002F3AB3"/>
    <w:rsid w:val="002F63BF"/>
    <w:rsid w:val="003229E7"/>
    <w:rsid w:val="003811FD"/>
    <w:rsid w:val="003B716D"/>
    <w:rsid w:val="003C2ACF"/>
    <w:rsid w:val="003D48BF"/>
    <w:rsid w:val="003F7B77"/>
    <w:rsid w:val="00400A94"/>
    <w:rsid w:val="00425222"/>
    <w:rsid w:val="00441A6E"/>
    <w:rsid w:val="004500FD"/>
    <w:rsid w:val="00474BEB"/>
    <w:rsid w:val="004C7509"/>
    <w:rsid w:val="004D323F"/>
    <w:rsid w:val="00505200"/>
    <w:rsid w:val="005208FD"/>
    <w:rsid w:val="005224BB"/>
    <w:rsid w:val="0057035B"/>
    <w:rsid w:val="005913FE"/>
    <w:rsid w:val="005B1931"/>
    <w:rsid w:val="005C1E22"/>
    <w:rsid w:val="005E1ACB"/>
    <w:rsid w:val="005E4DB5"/>
    <w:rsid w:val="005F681F"/>
    <w:rsid w:val="00606C14"/>
    <w:rsid w:val="00635738"/>
    <w:rsid w:val="006726D7"/>
    <w:rsid w:val="00672A05"/>
    <w:rsid w:val="00676FA4"/>
    <w:rsid w:val="00697934"/>
    <w:rsid w:val="006C3158"/>
    <w:rsid w:val="00710F68"/>
    <w:rsid w:val="007326A7"/>
    <w:rsid w:val="00746448"/>
    <w:rsid w:val="00761918"/>
    <w:rsid w:val="00777603"/>
    <w:rsid w:val="00783B66"/>
    <w:rsid w:val="00792BA7"/>
    <w:rsid w:val="007B4C1C"/>
    <w:rsid w:val="007C7C62"/>
    <w:rsid w:val="007F4B2B"/>
    <w:rsid w:val="00806BDC"/>
    <w:rsid w:val="00821189"/>
    <w:rsid w:val="008B6A77"/>
    <w:rsid w:val="008F0018"/>
    <w:rsid w:val="00997ED6"/>
    <w:rsid w:val="009A1D81"/>
    <w:rsid w:val="009F46EC"/>
    <w:rsid w:val="00A03318"/>
    <w:rsid w:val="00A116FB"/>
    <w:rsid w:val="00A11BC2"/>
    <w:rsid w:val="00A31CDC"/>
    <w:rsid w:val="00A36CE3"/>
    <w:rsid w:val="00A6222D"/>
    <w:rsid w:val="00A74E78"/>
    <w:rsid w:val="00AB2F4F"/>
    <w:rsid w:val="00AC3D95"/>
    <w:rsid w:val="00AE3D56"/>
    <w:rsid w:val="00B3224C"/>
    <w:rsid w:val="00B541F6"/>
    <w:rsid w:val="00B731D5"/>
    <w:rsid w:val="00B75C81"/>
    <w:rsid w:val="00B7769F"/>
    <w:rsid w:val="00BB09BB"/>
    <w:rsid w:val="00BB0CF6"/>
    <w:rsid w:val="00BF709A"/>
    <w:rsid w:val="00C27039"/>
    <w:rsid w:val="00C30570"/>
    <w:rsid w:val="00C40D25"/>
    <w:rsid w:val="00C42008"/>
    <w:rsid w:val="00C42086"/>
    <w:rsid w:val="00C425E0"/>
    <w:rsid w:val="00C6037F"/>
    <w:rsid w:val="00C93BFF"/>
    <w:rsid w:val="00CC78BD"/>
    <w:rsid w:val="00CD1813"/>
    <w:rsid w:val="00CE3964"/>
    <w:rsid w:val="00CE5121"/>
    <w:rsid w:val="00CF1E5C"/>
    <w:rsid w:val="00D97F19"/>
    <w:rsid w:val="00DA11D0"/>
    <w:rsid w:val="00DA229F"/>
    <w:rsid w:val="00DA5F31"/>
    <w:rsid w:val="00DC77CF"/>
    <w:rsid w:val="00DD5D63"/>
    <w:rsid w:val="00E6083F"/>
    <w:rsid w:val="00E94B74"/>
    <w:rsid w:val="00EC3E01"/>
    <w:rsid w:val="00F41FB6"/>
    <w:rsid w:val="00F46A4B"/>
    <w:rsid w:val="00F571CB"/>
    <w:rsid w:val="00F60A70"/>
    <w:rsid w:val="00F66CB8"/>
    <w:rsid w:val="00F83778"/>
    <w:rsid w:val="00FA0C5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20CE8"/>
  <w15:docId w15:val="{155FE4A8-F191-485C-AEB5-CC1838D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6AC4"/>
    <w:pPr>
      <w:keepNext/>
      <w:tabs>
        <w:tab w:val="left" w:pos="6284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4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6AC4"/>
    <w:pPr>
      <w:suppressAutoHyphens/>
      <w:ind w:left="708"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1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A6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unhideWhenUsed/>
    <w:rsid w:val="00C4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78BD"/>
    <w:rPr>
      <w:color w:val="808080"/>
    </w:rPr>
  </w:style>
  <w:style w:type="table" w:styleId="TabeladeGrade4-nfase1">
    <w:name w:val="Grid Table 4 Accent 1"/>
    <w:basedOn w:val="Tabelanormal"/>
    <w:uiPriority w:val="49"/>
    <w:rsid w:val="00606C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Clara">
    <w:name w:val="Grid Table Light"/>
    <w:basedOn w:val="Tabelanormal"/>
    <w:uiPriority w:val="40"/>
    <w:rsid w:val="003C2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AABE-71DE-4875-A1C1-0917663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Joao Paulo Moraes</cp:lastModifiedBy>
  <cp:revision>4</cp:revision>
  <cp:lastPrinted>2023-05-13T04:11:00Z</cp:lastPrinted>
  <dcterms:created xsi:type="dcterms:W3CDTF">2023-05-13T04:11:00Z</dcterms:created>
  <dcterms:modified xsi:type="dcterms:W3CDTF">2023-05-13T04:11:00Z</dcterms:modified>
</cp:coreProperties>
</file>