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8AF3" w14:textId="7010294E" w:rsidR="00146AC4" w:rsidRDefault="00997ED6" w:rsidP="00146AC4">
      <w:pPr>
        <w:pStyle w:val="Cabealho"/>
        <w:tabs>
          <w:tab w:val="clear" w:pos="4419"/>
          <w:tab w:val="clear" w:pos="8838"/>
          <w:tab w:val="left" w:pos="8340"/>
        </w:tabs>
      </w:pPr>
      <w:bookmarkStart w:id="0" w:name="_Hlk509777098"/>
      <w:bookmarkStart w:id="1" w:name="_Hlk50978095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5722696" wp14:editId="1EE83D08">
            <wp:simplePos x="0" y="0"/>
            <wp:positionH relativeFrom="column">
              <wp:posOffset>-144145</wp:posOffset>
            </wp:positionH>
            <wp:positionV relativeFrom="paragraph">
              <wp:posOffset>-314960</wp:posOffset>
            </wp:positionV>
            <wp:extent cx="898525" cy="483870"/>
            <wp:effectExtent l="0" t="0" r="0" b="0"/>
            <wp:wrapNone/>
            <wp:docPr id="1" name="Imagem 1" descr="BRASAO U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AO UFF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AC4">
        <w:rPr>
          <w:noProof/>
        </w:rPr>
        <w:drawing>
          <wp:anchor distT="0" distB="0" distL="114300" distR="114300" simplePos="0" relativeHeight="251657216" behindDoc="0" locked="0" layoutInCell="1" allowOverlap="1" wp14:anchorId="31497412" wp14:editId="342258CB">
            <wp:simplePos x="0" y="0"/>
            <wp:positionH relativeFrom="margin">
              <wp:align>center</wp:align>
            </wp:positionH>
            <wp:positionV relativeFrom="paragraph">
              <wp:posOffset>-19685</wp:posOffset>
            </wp:positionV>
            <wp:extent cx="640080" cy="6191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AC4">
        <w:tab/>
      </w:r>
    </w:p>
    <w:p w14:paraId="3E5086EF" w14:textId="77777777" w:rsidR="00146AC4" w:rsidRDefault="00146AC4" w:rsidP="00146AC4"/>
    <w:p w14:paraId="325565ED" w14:textId="77777777" w:rsidR="00146AC4" w:rsidRDefault="00146AC4" w:rsidP="00146AC4"/>
    <w:p w14:paraId="11340C8B" w14:textId="77777777" w:rsidR="00146AC4" w:rsidRDefault="00146AC4" w:rsidP="00146AC4"/>
    <w:p w14:paraId="14D1E300" w14:textId="77777777" w:rsidR="00146AC4" w:rsidRPr="00456DAD" w:rsidRDefault="00146AC4" w:rsidP="00146AC4">
      <w:pPr>
        <w:tabs>
          <w:tab w:val="left" w:pos="6284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56DAD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INISTÉRIO DA EDUCAÇÃO</w:t>
      </w:r>
    </w:p>
    <w:p w14:paraId="52FE3ACF" w14:textId="77777777" w:rsidR="00146AC4" w:rsidRPr="00777603" w:rsidRDefault="00146AC4" w:rsidP="00146AC4">
      <w:pPr>
        <w:pStyle w:val="Ttulo1"/>
        <w:rPr>
          <w:rFonts w:ascii="Arial" w:hAnsi="Arial" w:cs="Arial"/>
          <w:sz w:val="20"/>
          <w:szCs w:val="20"/>
        </w:rPr>
      </w:pPr>
      <w:r w:rsidRPr="00777603">
        <w:rPr>
          <w:rFonts w:ascii="Arial" w:hAnsi="Arial" w:cs="Arial"/>
          <w:sz w:val="20"/>
          <w:szCs w:val="20"/>
        </w:rPr>
        <w:t>UNIVERSIDADE FEDERAL FLUMINENSE</w:t>
      </w:r>
    </w:p>
    <w:bookmarkEnd w:id="0"/>
    <w:p w14:paraId="180418F0" w14:textId="77777777" w:rsidR="00676FA4" w:rsidRPr="00E5719D" w:rsidRDefault="00676FA4" w:rsidP="00676F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PRÓ REITORIA DE ADMINISTRAÇÃO</w:t>
      </w:r>
    </w:p>
    <w:p w14:paraId="0FDDAC44" w14:textId="77777777" w:rsidR="00146AC4" w:rsidRDefault="00146AC4" w:rsidP="00146AC4">
      <w:pPr>
        <w:rPr>
          <w:sz w:val="22"/>
        </w:rPr>
      </w:pPr>
    </w:p>
    <w:p w14:paraId="48224372" w14:textId="073BFE7B" w:rsidR="00146AC4" w:rsidRPr="00F60A70" w:rsidRDefault="00146AC4" w:rsidP="00146AC4">
      <w:pPr>
        <w:pStyle w:val="Ttulo1"/>
        <w:shd w:val="clear" w:color="auto" w:fill="E7E6E6"/>
        <w:rPr>
          <w:rFonts w:asciiTheme="minorHAnsi" w:hAnsiTheme="minorHAnsi" w:cstheme="minorHAnsi"/>
          <w:sz w:val="22"/>
          <w:szCs w:val="22"/>
        </w:rPr>
      </w:pPr>
      <w:r w:rsidRPr="00F60A70">
        <w:rPr>
          <w:rFonts w:asciiTheme="minorHAnsi" w:hAnsiTheme="minorHAnsi" w:cstheme="minorHAnsi"/>
          <w:sz w:val="22"/>
          <w:szCs w:val="22"/>
        </w:rPr>
        <w:t xml:space="preserve">ANEXO </w:t>
      </w:r>
      <w:r w:rsidR="003811FD" w:rsidRPr="00F60A70">
        <w:rPr>
          <w:rFonts w:asciiTheme="minorHAnsi" w:hAnsiTheme="minorHAnsi" w:cstheme="minorHAnsi"/>
          <w:sz w:val="22"/>
          <w:szCs w:val="22"/>
        </w:rPr>
        <w:t>III</w:t>
      </w:r>
      <w:r w:rsidR="00777603" w:rsidRPr="00F60A70">
        <w:rPr>
          <w:rFonts w:asciiTheme="minorHAnsi" w:hAnsiTheme="minorHAnsi" w:cstheme="minorHAnsi"/>
          <w:sz w:val="22"/>
          <w:szCs w:val="22"/>
        </w:rPr>
        <w:t xml:space="preserve"> </w:t>
      </w:r>
      <w:r w:rsidRPr="00F60A70">
        <w:rPr>
          <w:rFonts w:asciiTheme="minorHAnsi" w:hAnsiTheme="minorHAnsi" w:cstheme="minorHAnsi"/>
          <w:sz w:val="22"/>
          <w:szCs w:val="22"/>
        </w:rPr>
        <w:t>– INSTRUMENTO DE MEDIÇÃO DE RESULTADO</w:t>
      </w:r>
    </w:p>
    <w:p w14:paraId="65824008" w14:textId="77777777" w:rsidR="00146AC4" w:rsidRPr="00F60A70" w:rsidRDefault="00146AC4" w:rsidP="00146AC4">
      <w:pPr>
        <w:pStyle w:val="PargrafodaLista"/>
        <w:tabs>
          <w:tab w:val="left" w:pos="426"/>
        </w:tabs>
        <w:ind w:left="0"/>
        <w:jc w:val="both"/>
        <w:rPr>
          <w:rFonts w:asciiTheme="minorHAnsi" w:eastAsia="Arial Unicode MS" w:hAnsiTheme="minorHAnsi" w:cstheme="minorHAnsi"/>
          <w:sz w:val="22"/>
          <w:szCs w:val="22"/>
          <w:lang w:val="x-none"/>
        </w:rPr>
      </w:pPr>
    </w:p>
    <w:bookmarkEnd w:id="1"/>
    <w:p w14:paraId="44ABEE82" w14:textId="03D12A20" w:rsidR="00DD5D63" w:rsidRPr="00F60A70" w:rsidRDefault="005913FE" w:rsidP="003C2ACF">
      <w:pPr>
        <w:pStyle w:val="PargrafodaLista"/>
        <w:tabs>
          <w:tab w:val="left" w:pos="426"/>
        </w:tabs>
        <w:spacing w:line="276" w:lineRule="auto"/>
        <w:ind w:left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60A70">
        <w:rPr>
          <w:rFonts w:asciiTheme="minorHAnsi" w:eastAsia="Arial Unicode MS" w:hAnsiTheme="minorHAnsi" w:cstheme="minorHAnsi"/>
          <w:b/>
          <w:sz w:val="22"/>
          <w:szCs w:val="22"/>
        </w:rPr>
        <w:t>INSTRUMENTO DE MEDIÇÃO DE RESULTADOS</w:t>
      </w:r>
      <w:r w:rsidR="00DD5D63" w:rsidRPr="00F60A70">
        <w:rPr>
          <w:rFonts w:asciiTheme="minorHAnsi" w:eastAsia="Arial Unicode MS" w:hAnsiTheme="minorHAnsi" w:cstheme="minorHAnsi"/>
          <w:b/>
          <w:sz w:val="22"/>
          <w:szCs w:val="22"/>
          <w:lang w:val="x-none"/>
        </w:rPr>
        <w:t xml:space="preserve"> DE ATIVIDADES D</w:t>
      </w:r>
      <w:r w:rsidR="00DD5D63" w:rsidRPr="00F60A70">
        <w:rPr>
          <w:rFonts w:asciiTheme="minorHAnsi" w:eastAsia="Arial Unicode MS" w:hAnsiTheme="minorHAnsi" w:cstheme="minorHAnsi"/>
          <w:b/>
          <w:sz w:val="22"/>
          <w:szCs w:val="22"/>
        </w:rPr>
        <w:t>E</w:t>
      </w:r>
      <w:r w:rsidR="00DD5D63" w:rsidRPr="00F60A70">
        <w:rPr>
          <w:rFonts w:asciiTheme="minorHAnsi" w:eastAsia="Arial Unicode MS" w:hAnsiTheme="minorHAnsi" w:cstheme="minorHAnsi"/>
          <w:b/>
          <w:sz w:val="22"/>
          <w:szCs w:val="22"/>
          <w:lang w:val="x-none"/>
        </w:rPr>
        <w:t xml:space="preserve"> </w:t>
      </w:r>
      <w:r w:rsidR="00DD5D63" w:rsidRPr="00F60A70">
        <w:rPr>
          <w:rFonts w:asciiTheme="minorHAnsi" w:eastAsia="Arial Unicode MS" w:hAnsiTheme="minorHAnsi" w:cstheme="minorHAnsi"/>
          <w:b/>
          <w:sz w:val="22"/>
          <w:szCs w:val="22"/>
        </w:rPr>
        <w:t>MÃO DE OBRA PARA SERVIÇOS CONTINUADOS DE NA UNIVERSIDADE FEDERAL FLUMINENSE</w:t>
      </w:r>
    </w:p>
    <w:p w14:paraId="12E9BD6F" w14:textId="77777777" w:rsidR="00DD5D63" w:rsidRPr="00F60A70" w:rsidRDefault="00DD5D63" w:rsidP="003C2ACF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C14F463" w14:textId="77777777" w:rsidR="00DD5D63" w:rsidRPr="003C2ACF" w:rsidRDefault="00DD5D63" w:rsidP="003C2ACF">
      <w:pPr>
        <w:pStyle w:val="PargrafodaLista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3C2ACF">
        <w:rPr>
          <w:rFonts w:asciiTheme="minorHAnsi" w:eastAsia="Arial Unicode MS" w:hAnsiTheme="minorHAnsi" w:cstheme="minorHAnsi"/>
          <w:b/>
          <w:sz w:val="22"/>
          <w:szCs w:val="22"/>
        </w:rPr>
        <w:t>INTRODUÇÃO</w:t>
      </w:r>
    </w:p>
    <w:p w14:paraId="009617C2" w14:textId="77777777" w:rsidR="00C6037F" w:rsidRPr="003C2ACF" w:rsidRDefault="00C6037F" w:rsidP="003C2ACF">
      <w:pPr>
        <w:pStyle w:val="PargrafodaLista"/>
        <w:tabs>
          <w:tab w:val="left" w:pos="0"/>
        </w:tabs>
        <w:spacing w:line="276" w:lineRule="auto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997AA2B" w14:textId="77777777" w:rsidR="003C2ACF" w:rsidRDefault="003C2ACF" w:rsidP="003C2ACF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O IMR é, conforme Instrução Normativa nº 05 de 2017, o “mecanismo que define, em bases compreensíveis, tangíveis, objetivamente observáveis e comprováveis, os níveis esperados de qualidade da prestação do serviço e respectivas adequações de pagamento” para os serviços prestados.</w:t>
      </w:r>
    </w:p>
    <w:p w14:paraId="124AC8C5" w14:textId="77777777" w:rsidR="003C2ACF" w:rsidRPr="003C2ACF" w:rsidRDefault="003C2ACF" w:rsidP="003C2ACF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Fiscalização Técnica medirá a eficiência da execução contratual em função de indicadores referenciais descritos a seguir como atividades críticas do contrato, que são critérios objetivos e mensuráveis estabelecidos com a finalidade de aferir e avaliar diversos fatores relacionados com os serviços contratados, quais sejam: qualidade, desempenho e disponibilidade de uso. </w:t>
      </w:r>
    </w:p>
    <w:p w14:paraId="6A91FF30" w14:textId="77777777" w:rsidR="003C2ACF" w:rsidRPr="003C2ACF" w:rsidRDefault="003C2ACF" w:rsidP="003C2ACF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mensurar esses fatores serão utilizados indicadores relacionados com a natureza e características dos itens contratados, para os quais foi estabelecida meta quantificável a ser cumprida pela CONTRATADA. Esses indicadores são expressos em unidades de medida exata e claramente mensuráveis visando o </w:t>
      </w: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Cumprimento de Metas Técnicas Contratuais.</w:t>
      </w:r>
    </w:p>
    <w:p w14:paraId="3E0D649C" w14:textId="77777777" w:rsidR="003C2ACF" w:rsidRDefault="003C2ACF" w:rsidP="003C2ACF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 aferição e avaliação dos indicadores serão feitas a cada medição/faturamento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devendo a Contratada apresentá-lo dentro do Relatório de Medição. Devem constar dentro deste relatório o indicador e meta de níveis de serviço alcançado. O conteúdo detalhado e a forma da apresentação serão definidos pelas partes. </w:t>
      </w:r>
    </w:p>
    <w:p w14:paraId="2DB55061" w14:textId="77777777" w:rsidR="003C2ACF" w:rsidRDefault="003C2ACF" w:rsidP="003C2ACF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 primeiros 90 (noventa) dias, após o início da execução dos serviços serão considerados como período de estabilização, durante o qual a Contratada deverá proceder a todos os ajustes que se mostrarem necessários, bem como nos procedimentos adotados e demais aspectos da prestação dos serviços, de modo a assegurar o alcance dos níveis das metas estabelecidos. Caso haja prorrogação da vigência contratual, não haverá novo período de estabilização. </w:t>
      </w:r>
    </w:p>
    <w:p w14:paraId="6FB290FF" w14:textId="77777777" w:rsidR="003C2ACF" w:rsidRDefault="003C2ACF" w:rsidP="003C2ACF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Em função do dito acima, </w:t>
      </w: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será aplicada um método de carência sobre a aplicação das metas nos primeiros 90 (noventa) dias do contrato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conforme metodologia explicitada a seguir.</w:t>
      </w:r>
    </w:p>
    <w:p w14:paraId="55D80C00" w14:textId="77777777" w:rsidR="003C2ACF" w:rsidRDefault="003C2ACF" w:rsidP="003C2ACF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para o 1º mês de execução contratual: cobrança de 50% das metas;</w:t>
      </w:r>
    </w:p>
    <w:p w14:paraId="5D25CD23" w14:textId="28C3E109" w:rsidR="003C2ACF" w:rsidRPr="003C2ACF" w:rsidRDefault="003C2ACF" w:rsidP="003C2ACF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para o 2º mês de execução contratual: cobrança de 70% das metas;</w:t>
      </w:r>
    </w:p>
    <w:p w14:paraId="7C715E6F" w14:textId="783D279E" w:rsidR="003C2ACF" w:rsidRPr="003C2ACF" w:rsidRDefault="003C2ACF" w:rsidP="003C2ACF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para o 3º mês de execução contratual: cobrança de 90% das metas;</w:t>
      </w:r>
    </w:p>
    <w:p w14:paraId="690FFB68" w14:textId="63097243" w:rsidR="003C2ACF" w:rsidRPr="003C2ACF" w:rsidRDefault="003C2ACF" w:rsidP="003C2ACF">
      <w:pPr>
        <w:pStyle w:val="PargrafodaLista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a partir do 4º mês de execução contratual serão cobradas 100% das metas.</w:t>
      </w:r>
    </w:p>
    <w:p w14:paraId="7A7B905D" w14:textId="715E472E" w:rsidR="003C2ACF" w:rsidRPr="003C2ACF" w:rsidRDefault="003C2ACF" w:rsidP="003C2ACF">
      <w:pPr>
        <w:pStyle w:val="PargrafodaLista"/>
        <w:tabs>
          <w:tab w:val="left" w:pos="0"/>
        </w:tabs>
        <w:spacing w:line="276" w:lineRule="auto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315798A" w14:textId="77777777" w:rsidR="003C2ACF" w:rsidRDefault="003C2ACF" w:rsidP="003C2ACF">
      <w:pPr>
        <w:pStyle w:val="PargrafodaLista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Indicador e Parâmetros de Cálculo do IMR</w:t>
      </w:r>
    </w:p>
    <w:p w14:paraId="708CC9B6" w14:textId="77777777" w:rsidR="003C2ACF" w:rsidRDefault="003C2ACF" w:rsidP="003C2ACF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indicador, metas, faixas de adequação e percentuais de glosa aplicáveis são estabelecidos na Tabela de Cálculo do IMR a seguir, que define os percentuais esperados, em função de meta </w:t>
      </w:r>
      <w:proofErr w:type="spellStart"/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pré</w:t>
      </w:r>
      <w:proofErr w:type="spellEnd"/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estabelecida, e os percentuais de desconto no valor mensal do contrato a ser pago a CONTRATADA, no caso destes índices não serem alcançados.</w:t>
      </w:r>
    </w:p>
    <w:p w14:paraId="48DD923E" w14:textId="7A0BEDE9" w:rsidR="003C2ACF" w:rsidRDefault="003C2ACF" w:rsidP="003C2ACF">
      <w:pPr>
        <w:pStyle w:val="PargrafodaLista"/>
        <w:numPr>
          <w:ilvl w:val="2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Foram considerados críticos e alinhados diretamente com o objetivo do contrato os seguintes </w:t>
      </w: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indicadores e metas mensais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36B2EDE5" w14:textId="77777777" w:rsidR="003C2ACF" w:rsidRPr="003C2ACF" w:rsidRDefault="003C2ACF" w:rsidP="003C2ACF">
      <w:pPr>
        <w:pStyle w:val="PargrafodaLista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71AEF8" w14:textId="4BAB2653" w:rsidR="003C2ACF" w:rsidRDefault="003C2ACF" w:rsidP="003C2ACF">
      <w:pPr>
        <w:tabs>
          <w:tab w:val="left" w:pos="0"/>
        </w:tabs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684"/>
        <w:gridCol w:w="2288"/>
        <w:gridCol w:w="2126"/>
        <w:gridCol w:w="2459"/>
      </w:tblGrid>
      <w:tr w:rsidR="003C2ACF" w14:paraId="07E1F271" w14:textId="77777777" w:rsidTr="003C2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601224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88" w:type="dxa"/>
            <w:hideMark/>
          </w:tcPr>
          <w:p w14:paraId="6FA4CFA8" w14:textId="77777777" w:rsidR="003C2ACF" w:rsidRPr="003C2ACF" w:rsidRDefault="003C2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ACF">
              <w:rPr>
                <w:rFonts w:ascii="Calibri" w:hAnsi="Calibri" w:cs="Calibri"/>
                <w:color w:val="000000"/>
                <w:sz w:val="22"/>
                <w:szCs w:val="22"/>
              </w:rPr>
              <w:t>INDICADOR</w:t>
            </w:r>
          </w:p>
        </w:tc>
        <w:tc>
          <w:tcPr>
            <w:tcW w:w="2126" w:type="dxa"/>
            <w:hideMark/>
          </w:tcPr>
          <w:p w14:paraId="20BF6568" w14:textId="77777777" w:rsidR="003C2ACF" w:rsidRPr="003C2ACF" w:rsidRDefault="003C2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ACF">
              <w:rPr>
                <w:rFonts w:ascii="Calibri" w:hAnsi="Calibri" w:cs="Calibri"/>
                <w:color w:val="000000"/>
                <w:sz w:val="22"/>
                <w:szCs w:val="22"/>
              </w:rPr>
              <w:t>UNIDADE DE MEDIDA</w:t>
            </w:r>
          </w:p>
        </w:tc>
        <w:tc>
          <w:tcPr>
            <w:tcW w:w="2459" w:type="dxa"/>
            <w:hideMark/>
          </w:tcPr>
          <w:p w14:paraId="69A2068B" w14:textId="77777777" w:rsidR="003C2ACF" w:rsidRPr="003C2ACF" w:rsidRDefault="003C2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ACF">
              <w:rPr>
                <w:rFonts w:ascii="Calibri" w:hAnsi="Calibri" w:cs="Calibri"/>
                <w:color w:val="000000"/>
                <w:sz w:val="22"/>
                <w:szCs w:val="22"/>
              </w:rPr>
              <w:t>METAS PARA CADA MEDIÇÃO</w:t>
            </w:r>
          </w:p>
        </w:tc>
      </w:tr>
      <w:tr w:rsidR="003C2ACF" w14:paraId="1101AA52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14:paraId="021E9AC4" w14:textId="77777777" w:rsidR="003C2ACF" w:rsidRDefault="003C2ACF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8" w:type="dxa"/>
            <w:vMerge w:val="restart"/>
            <w:hideMark/>
          </w:tcPr>
          <w:p w14:paraId="6B241024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Pontualidade na entrega do Relatório Técnico Mensal</w:t>
            </w:r>
          </w:p>
        </w:tc>
        <w:tc>
          <w:tcPr>
            <w:tcW w:w="2126" w:type="dxa"/>
            <w:vMerge w:val="restart"/>
            <w:hideMark/>
          </w:tcPr>
          <w:p w14:paraId="618C2519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Dias úteis de Atraso em relação ao prazo estabelecido</w:t>
            </w:r>
          </w:p>
        </w:tc>
        <w:tc>
          <w:tcPr>
            <w:tcW w:w="2459" w:type="dxa"/>
            <w:vMerge w:val="restart"/>
            <w:hideMark/>
          </w:tcPr>
          <w:p w14:paraId="58780FC4" w14:textId="5BB305ED" w:rsidR="003C2ACF" w:rsidRDefault="003C2ACF" w:rsidP="003C2A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Até o 5º dia útil do mês subsequente</w:t>
            </w:r>
          </w:p>
        </w:tc>
      </w:tr>
      <w:tr w:rsidR="003C2ACF" w14:paraId="479F81C4" w14:textId="77777777" w:rsidTr="003C2AC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7EFD6A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170A3D07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7ED3FB26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2556D731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25F6C90F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D42261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7DBB99FD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210F7F1D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6A8C4D48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5F876381" w14:textId="77777777" w:rsidTr="003C2ACF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78C109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2364C639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6C1544FB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07044DF1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2F36E969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14:paraId="68012B18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8" w:type="dxa"/>
            <w:vMerge w:val="restart"/>
            <w:hideMark/>
          </w:tcPr>
          <w:p w14:paraId="0FDF32C1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Ocorrência de Eventos por Equipamento</w:t>
            </w:r>
          </w:p>
        </w:tc>
        <w:tc>
          <w:tcPr>
            <w:tcW w:w="2126" w:type="dxa"/>
            <w:vMerge w:val="restart"/>
            <w:noWrap/>
            <w:hideMark/>
          </w:tcPr>
          <w:p w14:paraId="00AAD355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Eventos Por mês</w:t>
            </w:r>
          </w:p>
        </w:tc>
        <w:tc>
          <w:tcPr>
            <w:tcW w:w="2459" w:type="dxa"/>
            <w:vMerge w:val="restart"/>
            <w:hideMark/>
          </w:tcPr>
          <w:p w14:paraId="347A26B7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Até 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Eventos mensais por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Equipto</w:t>
            </w:r>
            <w:proofErr w:type="spellEnd"/>
          </w:p>
        </w:tc>
      </w:tr>
      <w:tr w:rsidR="003C2ACF" w14:paraId="414D5777" w14:textId="77777777" w:rsidTr="003C2AC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8A53E0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264A81EB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1366DE41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6C691AD5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59C193C8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F215130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4C3479ED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14364A9F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01D98138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4F264784" w14:textId="77777777" w:rsidTr="003C2ACF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24F49AD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66CA72DF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7FA5CD1E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16BAFE9F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3FB22F09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14:paraId="0A927989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8" w:type="dxa"/>
            <w:vMerge w:val="restart"/>
            <w:hideMark/>
          </w:tcPr>
          <w:p w14:paraId="304D236F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Ocorrência de Paralisações por Equipamento</w:t>
            </w:r>
          </w:p>
        </w:tc>
        <w:tc>
          <w:tcPr>
            <w:tcW w:w="2126" w:type="dxa"/>
            <w:vMerge w:val="restart"/>
            <w:hideMark/>
          </w:tcPr>
          <w:p w14:paraId="1A5528AD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Paralisações por mês</w:t>
            </w:r>
          </w:p>
        </w:tc>
        <w:tc>
          <w:tcPr>
            <w:tcW w:w="2459" w:type="dxa"/>
            <w:vMerge w:val="restart"/>
            <w:hideMark/>
          </w:tcPr>
          <w:p w14:paraId="50063609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Até 2 Paralisações mensais por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Equipto</w:t>
            </w:r>
            <w:proofErr w:type="spellEnd"/>
          </w:p>
        </w:tc>
      </w:tr>
      <w:tr w:rsidR="003C2ACF" w14:paraId="70336DA0" w14:textId="77777777" w:rsidTr="003C2AC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1C3325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286E93FD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353011B9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1024C49F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65D61055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001785B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5372FDD2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7D80350F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3A806AFF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3E84098A" w14:textId="77777777" w:rsidTr="003C2ACF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03D8031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326BC68C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6BACAE2A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5AA28222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32C3D3D1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14:paraId="6A6EC4BA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8" w:type="dxa"/>
            <w:vMerge w:val="restart"/>
            <w:hideMark/>
          </w:tcPr>
          <w:p w14:paraId="367E0C5B" w14:textId="305F5335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Retirada de passageiros presos com espera maior que 30 minutos após chamado </w:t>
            </w:r>
          </w:p>
        </w:tc>
        <w:tc>
          <w:tcPr>
            <w:tcW w:w="2126" w:type="dxa"/>
            <w:vMerge w:val="restart"/>
            <w:hideMark/>
          </w:tcPr>
          <w:p w14:paraId="1CACD168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Ocorrência de Atrasos por mês</w:t>
            </w:r>
          </w:p>
        </w:tc>
        <w:tc>
          <w:tcPr>
            <w:tcW w:w="2459" w:type="dxa"/>
            <w:vMerge w:val="restart"/>
            <w:hideMark/>
          </w:tcPr>
          <w:p w14:paraId="2CEA4E29" w14:textId="77777777" w:rsidR="003C2ACF" w:rsidRDefault="003C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ZERO ocorrências</w:t>
            </w:r>
          </w:p>
        </w:tc>
      </w:tr>
      <w:tr w:rsidR="003C2ACF" w14:paraId="01D2ED72" w14:textId="77777777" w:rsidTr="003C2AC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DA1CB93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630B874A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4C520743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01ED65F8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67C9C9D4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3EBE58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5BD2372E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2A9BCB4A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35D2B14C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1A8BBF6B" w14:textId="77777777" w:rsidTr="003C2ACF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350C69F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0CE09E3A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2022D018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7295E4F5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369159FE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0891888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767ED7AB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7B24B926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4ADFD4B9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2F33E144" w14:textId="77777777" w:rsidTr="003C2ACF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136470F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1A50BF80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26CF5C0F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7C0B6028" w14:textId="77777777" w:rsidR="003C2ACF" w:rsidRDefault="003C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2ACF" w14:paraId="0A96AF94" w14:textId="77777777" w:rsidTr="003C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455B961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vMerge/>
            <w:hideMark/>
          </w:tcPr>
          <w:p w14:paraId="17B5A99D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2F38AAC0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vMerge/>
            <w:hideMark/>
          </w:tcPr>
          <w:p w14:paraId="2BFB62DD" w14:textId="77777777" w:rsidR="003C2ACF" w:rsidRDefault="003C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FEA1DFB" w14:textId="77777777" w:rsidR="003C2ACF" w:rsidRPr="003C2ACF" w:rsidRDefault="003C2ACF" w:rsidP="003C2ACF">
      <w:pPr>
        <w:tabs>
          <w:tab w:val="left" w:pos="0"/>
        </w:tabs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1AF43DDE" w14:textId="77777777" w:rsidR="003C2ACF" w:rsidRP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Notas:</w:t>
      </w:r>
    </w:p>
    <w:p w14:paraId="28A53407" w14:textId="77777777" w:rsidR="003C2ACF" w:rsidRDefault="003C2ACF" w:rsidP="003C2ACF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relatório técnico é um item contratual e de responsabilidade técnica, por isso, considerado condição básica para atendimento ao contrato. </w:t>
      </w:r>
    </w:p>
    <w:p w14:paraId="1BC08694" w14:textId="77777777" w:rsidR="003C2ACF" w:rsidRDefault="003C2ACF" w:rsidP="003C2ACF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Evento é qualquer falha que ocorra com o equipamento que não inviabilize seu funcionamento e/ou que não o mantenha parado por mais de 24 horas. Ex. Lâmpada queimada, botoeira em mau contato, porta raspando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no piso, etc. Em caso de um contrato ter mais de um equipamento, tal índice será a contabilização de todas as ocorrências mensais divididas pela quantidade de equipamentos do mesmo item contratual.</w:t>
      </w:r>
    </w:p>
    <w:p w14:paraId="146844C2" w14:textId="77777777" w:rsidR="003C2ACF" w:rsidRDefault="003C2ACF" w:rsidP="003C2ACF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Paralisação é qualquer falha que ocorra com o equipamento que inviabilize a operação por mais de 24 horas.</w:t>
      </w:r>
    </w:p>
    <w:p w14:paraId="384C838E" w14:textId="05850965" w:rsidR="003C2ACF" w:rsidRPr="003C2ACF" w:rsidRDefault="003C2ACF" w:rsidP="003C2ACF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Eventos de Atrasos a Retirada de Passageiros é uma espera maior que os períodos de espera para retirada de passageiros presos estabelecidos em função das necessidades da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UFF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variam em função dos horários estabelecidos no item 7.3.d deste documento.</w:t>
      </w:r>
    </w:p>
    <w:p w14:paraId="5849C699" w14:textId="77777777" w:rsid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A5FA996" w14:textId="30B347E2" w:rsidR="003C2ACF" w:rsidRPr="003C2ACF" w:rsidRDefault="003C2ACF" w:rsidP="003C2ACF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Metodologia de Cálculo do IMR</w:t>
      </w:r>
    </w:p>
    <w:p w14:paraId="500F2881" w14:textId="77777777" w:rsid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2.1.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IMR – Instrumento de Medição de Resultados será calculado a partir da tabela a seguir: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17BF9E47" w14:textId="77777777" w:rsidR="003C2ACF" w:rsidRDefault="003C2ACF" w:rsidP="003C2ACF">
      <w:pPr>
        <w:pStyle w:val="PargrafodaLista"/>
        <w:numPr>
          <w:ilvl w:val="2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É desejado que a Contratada atinja a faixa de adequação “A” para todas as medições mensais consideradas, caracterizando o atingimento da meta preestabelecida e, consequentemente, não ensejando qualquer desconto.</w:t>
      </w:r>
    </w:p>
    <w:p w14:paraId="45F5E211" w14:textId="2D27C284" w:rsidR="003C2ACF" w:rsidRDefault="003C2ACF" w:rsidP="003C2ACF">
      <w:pPr>
        <w:pStyle w:val="PargrafodaLista"/>
        <w:numPr>
          <w:ilvl w:val="2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 IMR será calculado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em função do percentual de atendimento às metas, conforme tabela do item a seguir. Caso não seja atingido o nível de execução esperado para o escopo de fornecimento, a empresa CONTRATADA terá desconto no valor a ser pago mensalmente pela CONTRATANTE.</w:t>
      </w:r>
    </w:p>
    <w:p w14:paraId="695E08AF" w14:textId="77777777" w:rsidR="003C2ACF" w:rsidRPr="003C2ACF" w:rsidRDefault="003C2ACF" w:rsidP="003C2AC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05"/>
        <w:gridCol w:w="2552"/>
        <w:gridCol w:w="1843"/>
        <w:gridCol w:w="76"/>
        <w:gridCol w:w="774"/>
        <w:gridCol w:w="137"/>
        <w:gridCol w:w="1103"/>
        <w:gridCol w:w="77"/>
        <w:gridCol w:w="693"/>
        <w:gridCol w:w="45"/>
      </w:tblGrid>
      <w:tr w:rsidR="003C2ACF" w14:paraId="12A87C61" w14:textId="77777777" w:rsidTr="003C2ACF">
        <w:trPr>
          <w:trHeight w:val="300"/>
        </w:trPr>
        <w:tc>
          <w:tcPr>
            <w:tcW w:w="7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2D5E" w14:textId="77777777" w:rsidR="003C2ACF" w:rsidRPr="003C2ACF" w:rsidRDefault="003C2ACF" w:rsidP="003C2A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2A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Tabela de Cálculo do IMR - Instrumento de Medição de Resultados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B66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2B06503" w14:textId="77B3B3E1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FF336" w14:textId="77777777" w:rsidR="003C2ACF" w:rsidRDefault="003C2ACF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57A1" w14:textId="77777777" w:rsidR="003C2ACF" w:rsidRDefault="003C2ACF">
            <w:pPr>
              <w:rPr>
                <w:sz w:val="20"/>
                <w:szCs w:val="20"/>
              </w:rPr>
            </w:pPr>
          </w:p>
        </w:tc>
      </w:tr>
      <w:tr w:rsidR="003C2ACF" w14:paraId="627569E7" w14:textId="77777777" w:rsidTr="003C2ACF">
        <w:trPr>
          <w:gridAfter w:val="1"/>
          <w:wAfter w:w="45" w:type="dxa"/>
          <w:trHeight w:val="12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4B85440" w14:textId="77777777" w:rsidR="003C2ACF" w:rsidRDefault="003C2A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E85123D" w14:textId="77777777" w:rsidR="003C2ACF" w:rsidRDefault="003C2A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INDICADOR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21972B9" w14:textId="77777777" w:rsidR="003C2ACF" w:rsidRDefault="003C2A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 DE MEDIDA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552DE66" w14:textId="77777777" w:rsidR="003C2ACF" w:rsidRDefault="003C2A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METAS PARA CADA MEDIÇÃO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72ADBEE" w14:textId="77777777" w:rsidR="003C2ACF" w:rsidRDefault="003C2A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FAIXA DE ADEQUAÇÃO DO INDICADOR (I)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43EA03" w14:textId="77777777" w:rsidR="003C2ACF" w:rsidRDefault="003C2ACF" w:rsidP="003C2A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DO IMR</w:t>
            </w:r>
          </w:p>
        </w:tc>
      </w:tr>
      <w:tr w:rsidR="003C2ACF" w14:paraId="59CB5F52" w14:textId="77777777" w:rsidTr="003C2ACF">
        <w:trPr>
          <w:gridAfter w:val="1"/>
          <w:wAfter w:w="45" w:type="dxa"/>
          <w:trHeight w:val="12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A393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2461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Pontualidade na entrega do Relatório Técnico Mensal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F3F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Dias úteis de Atraso em relação ao prazo estabelecido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5DD8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(zero) dias de atraso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E5AA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5517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 atraso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453F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3C2ACF" w14:paraId="776C5A90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BA08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BEAA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5FF7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6943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03B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4D3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1 até 5 dias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860C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98%</w:t>
            </w:r>
          </w:p>
        </w:tc>
      </w:tr>
      <w:tr w:rsidR="003C2ACF" w14:paraId="6962FBB7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4F3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78B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39B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7D98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FA79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CE0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5 até 10 dias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7C65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95%</w:t>
            </w:r>
          </w:p>
        </w:tc>
      </w:tr>
      <w:tr w:rsidR="003C2ACF" w14:paraId="6DC06286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9132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EC5B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139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21A2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09E9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31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10 dias atraso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56B5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90%</w:t>
            </w:r>
          </w:p>
        </w:tc>
      </w:tr>
      <w:tr w:rsidR="003C2ACF" w14:paraId="64FD6587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A9CA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6EA5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Ocorrência de Eventos por Equipamento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759F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Eventos Por mês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521E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Até 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Eventos mensais por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Equipto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1E6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C5D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Até 3 eventos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5E9D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3C2ACF" w14:paraId="05AE2345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EA98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0C168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873B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D2C5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050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2F6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3 até 5 eventos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C700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98%</w:t>
            </w:r>
          </w:p>
        </w:tc>
      </w:tr>
      <w:tr w:rsidR="003C2ACF" w14:paraId="2F480EB5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C07F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484FC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E578B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387A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856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53F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5 até 7 eventos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A788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95%</w:t>
            </w:r>
          </w:p>
        </w:tc>
      </w:tr>
      <w:tr w:rsidR="003C2ACF" w14:paraId="2F861180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0ACB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0142B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28A5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FC5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2DF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EB30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7 eventos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92CF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90%</w:t>
            </w:r>
          </w:p>
        </w:tc>
      </w:tr>
      <w:tr w:rsidR="003C2ACF" w14:paraId="37612B77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308B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248E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Ocorrência de Paralisações por Equipamento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302E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Paralisações por mês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152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Até 2 Paralisações mensais por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Equipto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041C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08A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Até 2 paralisações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E3DC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3C2ACF" w14:paraId="62D97FF6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451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000BB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8F86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F360D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835D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42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2 até 4 paralisações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EA0B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98%</w:t>
            </w:r>
          </w:p>
        </w:tc>
      </w:tr>
      <w:tr w:rsidR="003C2ACF" w14:paraId="514E2B78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E3A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024A1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A1FB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F602F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C79D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207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4 até 6 paralisações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EAA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95%</w:t>
            </w:r>
          </w:p>
        </w:tc>
      </w:tr>
      <w:tr w:rsidR="003C2ACF" w14:paraId="4FD5E07C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10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0824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268A8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DBD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5C50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C20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6 paralisações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90E8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90%</w:t>
            </w:r>
          </w:p>
        </w:tc>
      </w:tr>
      <w:tr w:rsidR="003C2ACF" w14:paraId="5C3B4EB7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C478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1E1D" w14:textId="5407D23F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Retirada de passageiros presos com espera maior que 30 minutos após chamado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54D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Ocorrência de Atrasos por mês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11D9" w14:textId="77777777" w:rsidR="003C2ACF" w:rsidRDefault="003C2A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ZERO ocorrências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9ABC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D2A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ZERO ocorrências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56F2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3C2ACF" w14:paraId="3E0B7E92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A349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01B6F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94B16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7C0F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290A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317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1 até 2 ocorrências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2482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98%</w:t>
            </w:r>
          </w:p>
        </w:tc>
      </w:tr>
      <w:tr w:rsidR="003C2ACF" w14:paraId="100C29F1" w14:textId="77777777" w:rsidTr="003C2ACF">
        <w:trPr>
          <w:gridAfter w:val="1"/>
          <w:wAfter w:w="45" w:type="dxa"/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7DE1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0E9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94EE8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FFE3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66A2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0D0D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ocorrências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680A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95%</w:t>
            </w:r>
          </w:p>
        </w:tc>
      </w:tr>
      <w:tr w:rsidR="003C2ACF" w14:paraId="4CFC58AD" w14:textId="77777777" w:rsidTr="003C2ACF">
        <w:trPr>
          <w:gridAfter w:val="1"/>
          <w:wAfter w:w="45" w:type="dxa"/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C20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E78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AD1E0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2622E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5675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E84" w14:textId="77777777" w:rsidR="003C2ACF" w:rsidRDefault="003C2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Acima de 3 ocorrências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97A5" w14:textId="77777777" w:rsidR="003C2ACF" w:rsidRDefault="003C2A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90%</w:t>
            </w:r>
          </w:p>
        </w:tc>
      </w:tr>
    </w:tbl>
    <w:p w14:paraId="3258B57A" w14:textId="4B291CA4" w:rsidR="003C2ACF" w:rsidRDefault="003C2ACF" w:rsidP="003C2ACF">
      <w:pPr>
        <w:pStyle w:val="PargrafodaLista"/>
        <w:tabs>
          <w:tab w:val="left" w:pos="0"/>
        </w:tabs>
        <w:ind w:left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033CA27D" w14:textId="77777777" w:rsidR="003C2ACF" w:rsidRDefault="003C2ACF" w:rsidP="003C2ACF">
      <w:pPr>
        <w:pStyle w:val="PargrafodaLista"/>
        <w:tabs>
          <w:tab w:val="left" w:pos="0"/>
        </w:tabs>
        <w:ind w:left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07B5B03D" w14:textId="77777777" w:rsidR="003C2ACF" w:rsidRP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NOTAS:</w:t>
      </w:r>
    </w:p>
    <w:p w14:paraId="7ACD6CAD" w14:textId="77777777" w:rsid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1)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O desconto realizado em função do IMR não impede outras penalidades por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descumprimentos contratuais de aspectos não relacionados ao mesmo.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20A1FC84" w14:textId="6A9B5846" w:rsidR="003C2ACF" w:rsidRP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2)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Deverão ser descontadas do cálculo IMR os itens previstos não executados por falta da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Contratante e/ou de ações alheias à capacidade de atuação da Contratada, conforme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julgamento da Fiscalização do Contrato.</w:t>
      </w:r>
    </w:p>
    <w:sectPr w:rsidR="003C2ACF" w:rsidRPr="003C2ACF" w:rsidSect="003C2ACF">
      <w:footerReference w:type="default" r:id="rId10"/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487E" w14:textId="77777777" w:rsidR="002F63BF" w:rsidRDefault="002F63BF" w:rsidP="00A116FB">
      <w:r>
        <w:separator/>
      </w:r>
    </w:p>
  </w:endnote>
  <w:endnote w:type="continuationSeparator" w:id="0">
    <w:p w14:paraId="62B10DD7" w14:textId="77777777" w:rsidR="002F63BF" w:rsidRDefault="002F63BF" w:rsidP="00A1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5159" w14:textId="4F070BA2" w:rsidR="005E4DB5" w:rsidRPr="005E4DB5" w:rsidRDefault="004C7509">
    <w:pPr>
      <w:pStyle w:val="Rodap"/>
      <w:rPr>
        <w:rFonts w:asciiTheme="minorHAnsi" w:hAnsiTheme="minorHAnsi" w:cstheme="minorHAnsi"/>
        <w:i/>
        <w:iCs/>
        <w:sz w:val="20"/>
        <w:szCs w:val="20"/>
      </w:rPr>
    </w:pPr>
    <w:r>
      <w:rPr>
        <w:rFonts w:asciiTheme="minorHAnsi" w:hAnsiTheme="minorHAnsi" w:cstheme="minorHAnsi"/>
        <w:i/>
        <w:iCs/>
        <w:sz w:val="20"/>
        <w:szCs w:val="20"/>
      </w:rPr>
      <w:fldChar w:fldCharType="begin"/>
    </w:r>
    <w:r>
      <w:rPr>
        <w:rFonts w:asciiTheme="minorHAnsi" w:hAnsiTheme="minorHAnsi" w:cstheme="minorHAnsi"/>
        <w:i/>
        <w:iCs/>
        <w:sz w:val="20"/>
        <w:szCs w:val="20"/>
      </w:rPr>
      <w:instrText xml:space="preserve"> FILENAME \* MERGEFORMAT </w:instrText>
    </w:r>
    <w:r>
      <w:rPr>
        <w:rFonts w:asciiTheme="minorHAnsi" w:hAnsiTheme="minorHAnsi" w:cstheme="minorHAnsi"/>
        <w:i/>
        <w:iCs/>
        <w:sz w:val="20"/>
        <w:szCs w:val="20"/>
      </w:rPr>
      <w:fldChar w:fldCharType="separate"/>
    </w:r>
    <w:r w:rsidR="00AB2F4F">
      <w:rPr>
        <w:rFonts w:asciiTheme="minorHAnsi" w:hAnsiTheme="minorHAnsi" w:cstheme="minorHAnsi"/>
        <w:i/>
        <w:iCs/>
        <w:noProof/>
        <w:sz w:val="20"/>
        <w:szCs w:val="20"/>
      </w:rPr>
      <w:t>Anexo III - PE XX.2023 IMR</w:t>
    </w:r>
    <w:r>
      <w:rPr>
        <w:rFonts w:asciiTheme="minorHAnsi" w:hAnsiTheme="minorHAnsi" w:cstheme="minorHAnsi"/>
        <w:i/>
        <w:iCs/>
        <w:sz w:val="20"/>
        <w:szCs w:val="20"/>
      </w:rPr>
      <w:fldChar w:fldCharType="end"/>
    </w:r>
    <w:r w:rsidR="005E4DB5">
      <w:rPr>
        <w:rFonts w:asciiTheme="minorHAnsi" w:hAnsiTheme="minorHAnsi" w:cstheme="minorHAnsi"/>
        <w:i/>
        <w:iCs/>
        <w:sz w:val="20"/>
        <w:szCs w:val="20"/>
      </w:rPr>
      <w:tab/>
    </w:r>
    <w:r w:rsidR="005E4DB5">
      <w:rPr>
        <w:rFonts w:asciiTheme="minorHAnsi" w:hAnsiTheme="minorHAnsi" w:cstheme="minorHAnsi"/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BB3E" w14:textId="77777777" w:rsidR="002F63BF" w:rsidRDefault="002F63BF" w:rsidP="00A116FB">
      <w:r>
        <w:separator/>
      </w:r>
    </w:p>
  </w:footnote>
  <w:footnote w:type="continuationSeparator" w:id="0">
    <w:p w14:paraId="27093BA8" w14:textId="77777777" w:rsidR="002F63BF" w:rsidRDefault="002F63BF" w:rsidP="00A1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546"/>
    <w:multiLevelType w:val="hybridMultilevel"/>
    <w:tmpl w:val="E9423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320D"/>
    <w:multiLevelType w:val="multilevel"/>
    <w:tmpl w:val="438EF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91F"/>
    <w:multiLevelType w:val="multilevel"/>
    <w:tmpl w:val="42180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B47311"/>
    <w:multiLevelType w:val="hybridMultilevel"/>
    <w:tmpl w:val="5CDE42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2B71"/>
    <w:multiLevelType w:val="hybridMultilevel"/>
    <w:tmpl w:val="33B29EFA"/>
    <w:lvl w:ilvl="0" w:tplc="0E5C40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D6206F"/>
    <w:multiLevelType w:val="multilevel"/>
    <w:tmpl w:val="F9B8CC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63600"/>
    <w:multiLevelType w:val="hybridMultilevel"/>
    <w:tmpl w:val="CA965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2016"/>
    <w:multiLevelType w:val="multilevel"/>
    <w:tmpl w:val="CED8C77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107027"/>
    <w:multiLevelType w:val="hybridMultilevel"/>
    <w:tmpl w:val="9E64C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F203F"/>
    <w:multiLevelType w:val="hybridMultilevel"/>
    <w:tmpl w:val="19BCB39E"/>
    <w:lvl w:ilvl="0" w:tplc="B4302D8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2C455C"/>
    <w:multiLevelType w:val="hybridMultilevel"/>
    <w:tmpl w:val="4816DEF8"/>
    <w:lvl w:ilvl="0" w:tplc="D68EAC6C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CD3D72"/>
    <w:multiLevelType w:val="hybridMultilevel"/>
    <w:tmpl w:val="A3486B6A"/>
    <w:lvl w:ilvl="0" w:tplc="C3F8AE5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24BD"/>
    <w:multiLevelType w:val="multilevel"/>
    <w:tmpl w:val="438EF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82894"/>
    <w:multiLevelType w:val="multilevel"/>
    <w:tmpl w:val="42180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592784"/>
    <w:multiLevelType w:val="multilevel"/>
    <w:tmpl w:val="D6446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D3978"/>
    <w:multiLevelType w:val="multilevel"/>
    <w:tmpl w:val="CED8C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D57F06"/>
    <w:multiLevelType w:val="hybridMultilevel"/>
    <w:tmpl w:val="A9FCD51C"/>
    <w:lvl w:ilvl="0" w:tplc="4D9CC0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ABA6E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925BBC"/>
    <w:multiLevelType w:val="multilevel"/>
    <w:tmpl w:val="C31C7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239764B"/>
    <w:multiLevelType w:val="hybridMultilevel"/>
    <w:tmpl w:val="2E025388"/>
    <w:lvl w:ilvl="0" w:tplc="11A43D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B916D7"/>
    <w:multiLevelType w:val="hybridMultilevel"/>
    <w:tmpl w:val="BB0AE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F3F0E"/>
    <w:multiLevelType w:val="hybridMultilevel"/>
    <w:tmpl w:val="451CC440"/>
    <w:lvl w:ilvl="0" w:tplc="B11873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34502595">
    <w:abstractNumId w:val="10"/>
  </w:num>
  <w:num w:numId="2" w16cid:durableId="1542981066">
    <w:abstractNumId w:val="11"/>
  </w:num>
  <w:num w:numId="3" w16cid:durableId="1624995370">
    <w:abstractNumId w:val="18"/>
  </w:num>
  <w:num w:numId="4" w16cid:durableId="1845512330">
    <w:abstractNumId w:val="12"/>
  </w:num>
  <w:num w:numId="5" w16cid:durableId="558248567">
    <w:abstractNumId w:val="1"/>
  </w:num>
  <w:num w:numId="6" w16cid:durableId="1383141711">
    <w:abstractNumId w:val="14"/>
  </w:num>
  <w:num w:numId="7" w16cid:durableId="1032074301">
    <w:abstractNumId w:val="17"/>
  </w:num>
  <w:num w:numId="8" w16cid:durableId="148837477">
    <w:abstractNumId w:val="13"/>
  </w:num>
  <w:num w:numId="9" w16cid:durableId="997030895">
    <w:abstractNumId w:val="2"/>
  </w:num>
  <w:num w:numId="10" w16cid:durableId="1803814904">
    <w:abstractNumId w:val="6"/>
  </w:num>
  <w:num w:numId="11" w16cid:durableId="1348407135">
    <w:abstractNumId w:val="8"/>
  </w:num>
  <w:num w:numId="12" w16cid:durableId="1917933601">
    <w:abstractNumId w:val="3"/>
  </w:num>
  <w:num w:numId="13" w16cid:durableId="1335180098">
    <w:abstractNumId w:val="0"/>
  </w:num>
  <w:num w:numId="14" w16cid:durableId="1191409631">
    <w:abstractNumId w:val="19"/>
  </w:num>
  <w:num w:numId="15" w16cid:durableId="1940018158">
    <w:abstractNumId w:val="16"/>
  </w:num>
  <w:num w:numId="16" w16cid:durableId="1576162551">
    <w:abstractNumId w:val="9"/>
  </w:num>
  <w:num w:numId="17" w16cid:durableId="984628081">
    <w:abstractNumId w:val="4"/>
  </w:num>
  <w:num w:numId="18" w16cid:durableId="634795613">
    <w:abstractNumId w:val="21"/>
  </w:num>
  <w:num w:numId="19" w16cid:durableId="1036807260">
    <w:abstractNumId w:val="20"/>
  </w:num>
  <w:num w:numId="20" w16cid:durableId="1830244167">
    <w:abstractNumId w:val="5"/>
  </w:num>
  <w:num w:numId="21" w16cid:durableId="785588143">
    <w:abstractNumId w:val="15"/>
  </w:num>
  <w:num w:numId="22" w16cid:durableId="860826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C4"/>
    <w:rsid w:val="00004E30"/>
    <w:rsid w:val="000239F4"/>
    <w:rsid w:val="0003130F"/>
    <w:rsid w:val="0003496D"/>
    <w:rsid w:val="000523CA"/>
    <w:rsid w:val="00106F74"/>
    <w:rsid w:val="001149FE"/>
    <w:rsid w:val="00125AF5"/>
    <w:rsid w:val="001347A0"/>
    <w:rsid w:val="00146AC4"/>
    <w:rsid w:val="00150B06"/>
    <w:rsid w:val="00153CB1"/>
    <w:rsid w:val="00185559"/>
    <w:rsid w:val="001E33C4"/>
    <w:rsid w:val="00232D24"/>
    <w:rsid w:val="002764D1"/>
    <w:rsid w:val="002D315C"/>
    <w:rsid w:val="002E3C88"/>
    <w:rsid w:val="002F3AB3"/>
    <w:rsid w:val="002F63BF"/>
    <w:rsid w:val="003229E7"/>
    <w:rsid w:val="003811FD"/>
    <w:rsid w:val="003B716D"/>
    <w:rsid w:val="003C2ACF"/>
    <w:rsid w:val="003D48BF"/>
    <w:rsid w:val="003F7B77"/>
    <w:rsid w:val="00400A94"/>
    <w:rsid w:val="00425222"/>
    <w:rsid w:val="00441A6E"/>
    <w:rsid w:val="004500FD"/>
    <w:rsid w:val="00474BEB"/>
    <w:rsid w:val="004C7509"/>
    <w:rsid w:val="004D323F"/>
    <w:rsid w:val="00505200"/>
    <w:rsid w:val="005224BB"/>
    <w:rsid w:val="0057035B"/>
    <w:rsid w:val="005913FE"/>
    <w:rsid w:val="005B1931"/>
    <w:rsid w:val="005C1E22"/>
    <w:rsid w:val="005E1ACB"/>
    <w:rsid w:val="005E4DB5"/>
    <w:rsid w:val="00606C14"/>
    <w:rsid w:val="00635738"/>
    <w:rsid w:val="006726D7"/>
    <w:rsid w:val="00672A05"/>
    <w:rsid w:val="00676FA4"/>
    <w:rsid w:val="00697934"/>
    <w:rsid w:val="006C3158"/>
    <w:rsid w:val="00710F68"/>
    <w:rsid w:val="007326A7"/>
    <w:rsid w:val="00746448"/>
    <w:rsid w:val="00761918"/>
    <w:rsid w:val="00777603"/>
    <w:rsid w:val="00783B66"/>
    <w:rsid w:val="00792BA7"/>
    <w:rsid w:val="007B4C1C"/>
    <w:rsid w:val="007C7C62"/>
    <w:rsid w:val="007F4B2B"/>
    <w:rsid w:val="00806BDC"/>
    <w:rsid w:val="00821189"/>
    <w:rsid w:val="008B6A77"/>
    <w:rsid w:val="008F0018"/>
    <w:rsid w:val="00997ED6"/>
    <w:rsid w:val="009A1D81"/>
    <w:rsid w:val="009F46EC"/>
    <w:rsid w:val="00A03318"/>
    <w:rsid w:val="00A116FB"/>
    <w:rsid w:val="00A11BC2"/>
    <w:rsid w:val="00A36CE3"/>
    <w:rsid w:val="00A6222D"/>
    <w:rsid w:val="00A74E78"/>
    <w:rsid w:val="00AB2F4F"/>
    <w:rsid w:val="00AC3D95"/>
    <w:rsid w:val="00AE3D56"/>
    <w:rsid w:val="00B3224C"/>
    <w:rsid w:val="00B541F6"/>
    <w:rsid w:val="00B731D5"/>
    <w:rsid w:val="00B75C81"/>
    <w:rsid w:val="00B7769F"/>
    <w:rsid w:val="00BB09BB"/>
    <w:rsid w:val="00BB0CF6"/>
    <w:rsid w:val="00BF709A"/>
    <w:rsid w:val="00C27039"/>
    <w:rsid w:val="00C30570"/>
    <w:rsid w:val="00C40D25"/>
    <w:rsid w:val="00C42008"/>
    <w:rsid w:val="00C42086"/>
    <w:rsid w:val="00C425E0"/>
    <w:rsid w:val="00C6037F"/>
    <w:rsid w:val="00C93BFF"/>
    <w:rsid w:val="00CC78BD"/>
    <w:rsid w:val="00CD1813"/>
    <w:rsid w:val="00CE3964"/>
    <w:rsid w:val="00CE5121"/>
    <w:rsid w:val="00CF1E5C"/>
    <w:rsid w:val="00D97F19"/>
    <w:rsid w:val="00DA11D0"/>
    <w:rsid w:val="00DA229F"/>
    <w:rsid w:val="00DA5F31"/>
    <w:rsid w:val="00DC77CF"/>
    <w:rsid w:val="00DD5D63"/>
    <w:rsid w:val="00E6083F"/>
    <w:rsid w:val="00E94B74"/>
    <w:rsid w:val="00EC3E01"/>
    <w:rsid w:val="00F41FB6"/>
    <w:rsid w:val="00F46A4B"/>
    <w:rsid w:val="00F571CB"/>
    <w:rsid w:val="00F60A70"/>
    <w:rsid w:val="00F66CB8"/>
    <w:rsid w:val="00F83778"/>
    <w:rsid w:val="00FA0C57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20CE8"/>
  <w15:docId w15:val="{155FE4A8-F191-485C-AEB5-CC1838D0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6AC4"/>
    <w:pPr>
      <w:keepNext/>
      <w:tabs>
        <w:tab w:val="left" w:pos="6284"/>
      </w:tabs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6AC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46A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6A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146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46AC4"/>
    <w:pPr>
      <w:suppressAutoHyphens/>
      <w:ind w:left="708"/>
    </w:pPr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116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6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A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A6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unhideWhenUsed/>
    <w:rsid w:val="00C4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C78BD"/>
    <w:rPr>
      <w:color w:val="808080"/>
    </w:rPr>
  </w:style>
  <w:style w:type="table" w:styleId="TabeladeGrade4-nfase1">
    <w:name w:val="Grid Table 4 Accent 1"/>
    <w:basedOn w:val="Tabelanormal"/>
    <w:uiPriority w:val="49"/>
    <w:rsid w:val="00606C1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3C2AC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4-nfase5">
    <w:name w:val="Grid Table 4 Accent 5"/>
    <w:basedOn w:val="Tabelanormal"/>
    <w:uiPriority w:val="49"/>
    <w:rsid w:val="003C2AC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Clara">
    <w:name w:val="Grid Table Light"/>
    <w:basedOn w:val="Tabelanormal"/>
    <w:uiPriority w:val="40"/>
    <w:rsid w:val="003C2A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3C2A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AABE-71DE-4875-A1C1-0917663D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1033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Joao Paulo Moraes</cp:lastModifiedBy>
  <cp:revision>5</cp:revision>
  <cp:lastPrinted>2023-02-26T04:51:00Z</cp:lastPrinted>
  <dcterms:created xsi:type="dcterms:W3CDTF">2023-02-19T01:36:00Z</dcterms:created>
  <dcterms:modified xsi:type="dcterms:W3CDTF">2023-02-26T04:51:00Z</dcterms:modified>
</cp:coreProperties>
</file>