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uppressLineNumbers/>
        <w:tabs>
          <w:tab w:val="left" w:pos="9639"/>
        </w:tabs>
        <w:suppressAutoHyphens/>
        <w:autoSpaceDE w:val="0"/>
        <w:autoSpaceDN w:val="0"/>
        <w:spacing w:before="101" w:after="0" w:line="360" w:lineRule="auto"/>
        <w:ind w:right="3"/>
        <w:jc w:val="center"/>
        <w:rPr>
          <w:rFonts w:ascii="Verdana" w:hAnsi="Liberation Sans Narrow" w:eastAsia="Liberation Sans Narrow" w:cs="Liberation Sans Narrow"/>
          <w:b/>
          <w:szCs w:val="20"/>
          <w:lang w:bidi="pt-BR"/>
        </w:rPr>
      </w:pPr>
      <w:r>
        <w:rPr>
          <w:rFonts w:ascii="Verdana" w:hAnsi="Liberation Sans Narrow" w:eastAsia="Liberation Sans Narrow" w:cs="Liberation Sans Narrow"/>
          <w:b/>
          <w:szCs w:val="20"/>
          <w:lang w:bidi="pt-BR"/>
        </w:rPr>
        <w:t>ANEXO IV – PE 7</w:t>
      </w:r>
      <w:r>
        <w:rPr>
          <w:rFonts w:hint="default" w:ascii="Verdana" w:hAnsi="Liberation Sans Narrow" w:eastAsia="Liberation Sans Narrow" w:cs="Liberation Sans Narrow"/>
          <w:b/>
          <w:szCs w:val="20"/>
          <w:lang w:val="en-US" w:bidi="pt-BR"/>
        </w:rPr>
        <w:t>6</w:t>
      </w:r>
      <w:bookmarkStart w:id="0" w:name="_GoBack"/>
      <w:bookmarkEnd w:id="0"/>
      <w:r>
        <w:rPr>
          <w:rFonts w:ascii="Verdana" w:hAnsi="Liberation Sans Narrow" w:eastAsia="Liberation Sans Narrow" w:cs="Liberation Sans Narrow"/>
          <w:b/>
          <w:szCs w:val="20"/>
          <w:lang w:bidi="pt-BR"/>
        </w:rPr>
        <w:t>/2021</w:t>
      </w:r>
    </w:p>
    <w:p>
      <w:pPr>
        <w:keepNext/>
        <w:keepLines/>
        <w:suppressLineNumbers/>
        <w:tabs>
          <w:tab w:val="left" w:pos="9639"/>
        </w:tabs>
        <w:suppressAutoHyphens/>
        <w:autoSpaceDE w:val="0"/>
        <w:autoSpaceDN w:val="0"/>
        <w:spacing w:before="101" w:after="0" w:line="360" w:lineRule="auto"/>
        <w:ind w:right="3"/>
        <w:jc w:val="center"/>
        <w:rPr>
          <w:rFonts w:ascii="Verdana" w:hAnsi="Liberation Sans Narrow" w:eastAsia="Liberation Sans Narrow" w:cs="Liberation Sans Narrow"/>
          <w:b/>
          <w:szCs w:val="20"/>
          <w:lang w:bidi="pt-BR"/>
        </w:rPr>
      </w:pPr>
      <w:r>
        <w:rPr>
          <w:rFonts w:ascii="Verdana" w:hAnsi="Liberation Sans Narrow" w:eastAsia="Liberation Sans Narrow" w:cs="Liberation Sans Narrow"/>
          <w:b/>
          <w:szCs w:val="20"/>
          <w:lang w:bidi="pt-BR"/>
        </w:rPr>
        <w:t>Processo 23069.164162/2021-19</w:t>
      </w:r>
    </w:p>
    <w:p>
      <w:pPr>
        <w:keepNext/>
        <w:keepLines/>
        <w:suppressLineNumbers/>
        <w:tabs>
          <w:tab w:val="left" w:pos="9639"/>
        </w:tabs>
        <w:suppressAutoHyphens/>
        <w:autoSpaceDE w:val="0"/>
        <w:autoSpaceDN w:val="0"/>
        <w:spacing w:before="101" w:after="0" w:line="360" w:lineRule="auto"/>
        <w:ind w:right="3"/>
        <w:jc w:val="center"/>
        <w:rPr>
          <w:rFonts w:ascii="Verdana" w:hAnsi="Liberation Sans Narrow" w:eastAsia="Liberation Sans Narrow" w:cs="Liberation Sans Narrow"/>
          <w:b/>
          <w:color w:val="FF0000"/>
          <w:szCs w:val="20"/>
          <w:lang w:bidi="pt-BR"/>
        </w:rPr>
      </w:pPr>
    </w:p>
    <w:p>
      <w:pPr>
        <w:spacing w:after="0" w:line="360" w:lineRule="auto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INDICE DE MEDIÇÃO DE RESULTADO </w:t>
      </w:r>
      <w:r>
        <w:rPr>
          <w:rFonts w:eastAsia="Arial" w:cstheme="minorHAnsi"/>
          <w:b/>
          <w:bCs/>
          <w:szCs w:val="20"/>
        </w:rPr>
        <w:t>(IMR)</w:t>
      </w:r>
    </w:p>
    <w:p>
      <w:pPr>
        <w:pStyle w:val="2"/>
        <w:keepNext w:val="0"/>
        <w:keepLines w:val="0"/>
        <w:widowControl w:val="0"/>
        <w:tabs>
          <w:tab w:val="left" w:pos="284"/>
          <w:tab w:val="left" w:pos="1326"/>
        </w:tabs>
        <w:autoSpaceDE w:val="0"/>
        <w:autoSpaceDN w:val="0"/>
        <w:spacing w:before="0" w:line="360" w:lineRule="auto"/>
        <w:ind w:left="792" w:hanging="508"/>
        <w:jc w:val="both"/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</w:pPr>
    </w:p>
    <w:p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426"/>
          <w:tab w:val="left" w:pos="1326"/>
        </w:tabs>
        <w:autoSpaceDE w:val="0"/>
        <w:autoSpaceDN w:val="0"/>
        <w:spacing w:before="0" w:line="360" w:lineRule="auto"/>
        <w:jc w:val="both"/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</w:pPr>
      <w:r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  <w:t>A GESTÃO INTEGRADA DA INFRAESTRUTURA deverá ter como base os princípios da Gestão Integrada por Resultados, prestando o melhor serviço a fim de proporcionar uma melhoria contínua no ambiente físico e equipamentos da UFF.</w:t>
      </w:r>
    </w:p>
    <w:p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426"/>
          <w:tab w:val="left" w:pos="1326"/>
        </w:tabs>
        <w:autoSpaceDE w:val="0"/>
        <w:autoSpaceDN w:val="0"/>
        <w:spacing w:before="0" w:line="360" w:lineRule="auto"/>
        <w:jc w:val="both"/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</w:pPr>
      <w:r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  <w:t>O modelo de gestão a ser implementado na UFF deve ser sistêmico no que tange à integração de todas as áreas necessárias ao seu pleno funcionamento, sendo responsável tanto pela infraestrutura e equipamentos quanto pelo seu funcionamento operacional.</w:t>
      </w:r>
    </w:p>
    <w:p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426"/>
          <w:tab w:val="left" w:pos="1326"/>
        </w:tabs>
        <w:autoSpaceDE w:val="0"/>
        <w:autoSpaceDN w:val="0"/>
        <w:spacing w:before="0" w:line="360" w:lineRule="auto"/>
        <w:jc w:val="both"/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</w:pPr>
      <w:r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  <w:t>O modelo de gestão proposto pela empresa Contratada deverá, para fins de organização, dividir-se em 3 (três) grandes segmentos, conforme informado no item 3, porém todos os segmentos serão integrados e dependentes entre si para o pleno monitoramento e funcionamento de toda a UNIVERSIDADE FEDERAL FLUMINENSE em tempo integral 24h por dia.</w:t>
      </w:r>
    </w:p>
    <w:p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426"/>
          <w:tab w:val="left" w:pos="1326"/>
        </w:tabs>
        <w:autoSpaceDE w:val="0"/>
        <w:autoSpaceDN w:val="0"/>
        <w:spacing w:before="0" w:line="360" w:lineRule="auto"/>
        <w:jc w:val="both"/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</w:pPr>
      <w:r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  <w:t>Será de responsabilidade da Contratada coordenar e executar em tempo integral os serviços descritos para cada posto de trabalho e as rotinas de manutenção predial, conforme Encarte B deste Termo.</w:t>
      </w:r>
    </w:p>
    <w:p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426"/>
          <w:tab w:val="left" w:pos="1326"/>
        </w:tabs>
        <w:autoSpaceDE w:val="0"/>
        <w:autoSpaceDN w:val="0"/>
        <w:spacing w:before="0" w:line="360" w:lineRule="auto"/>
        <w:jc w:val="both"/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</w:pPr>
      <w:r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  <w:t>Cada segmento de serviço terá sua rotina própria e definida de acordo com os requisitos e Acordos de Níveis de Serviço mínimos definidos neste Termo.</w:t>
      </w:r>
    </w:p>
    <w:p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426"/>
          <w:tab w:val="left" w:pos="1326"/>
        </w:tabs>
        <w:autoSpaceDE w:val="0"/>
        <w:autoSpaceDN w:val="0"/>
        <w:spacing w:before="0" w:line="360" w:lineRule="auto"/>
        <w:jc w:val="both"/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</w:pPr>
      <w:r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  <w:t>O Instrumento de Medição de Resultados (IMR) corresponde a cada uma das categorias abaixo, conforme o tipo e a dificuldade para a execução dos serviços de manutenção.</w:t>
      </w:r>
    </w:p>
    <w:p>
      <w:pPr>
        <w:pStyle w:val="17"/>
        <w:tabs>
          <w:tab w:val="left" w:pos="2552"/>
        </w:tabs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>
      <w:pPr>
        <w:pStyle w:val="2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Grau de Manutenção:</w:t>
      </w:r>
    </w:p>
    <w:tbl>
      <w:tblPr>
        <w:tblStyle w:val="4"/>
        <w:tblW w:w="4871" w:type="pct"/>
        <w:tblInd w:w="255" w:type="dxa"/>
        <w:tblLayout w:type="autofit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1748"/>
        <w:gridCol w:w="7857"/>
      </w:tblGrid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tabs>
                <w:tab w:val="left" w:pos="2552"/>
              </w:tabs>
              <w:spacing w:line="360" w:lineRule="auto"/>
              <w:ind w:right="34"/>
              <w:jc w:val="center"/>
              <w:rPr>
                <w:rStyle w:val="12"/>
                <w:rFonts w:cs="Times New Roman"/>
                <w:sz w:val="20"/>
                <w:szCs w:val="20"/>
              </w:rPr>
            </w:pPr>
            <w:r>
              <w:rPr>
                <w:rStyle w:val="12"/>
                <w:rFonts w:cs="Times New Roman"/>
                <w:sz w:val="20"/>
                <w:szCs w:val="20"/>
              </w:rPr>
              <w:t>1º GRAU</w:t>
            </w:r>
          </w:p>
        </w:tc>
        <w:tc>
          <w:tcPr>
            <w:tcW w:w="4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tabs>
                <w:tab w:val="left" w:pos="2552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12"/>
                <w:rFonts w:cs="Times New Roman"/>
                <w:sz w:val="20"/>
                <w:szCs w:val="20"/>
              </w:rPr>
              <w:t>Manutenção preventiva, aplicada aos sistemas, no todo ou em parte, caracterizada por sua simplicidade.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tabs>
                <w:tab w:val="left" w:pos="2552"/>
              </w:tabs>
              <w:spacing w:line="360" w:lineRule="auto"/>
              <w:ind w:right="34"/>
              <w:jc w:val="center"/>
              <w:rPr>
                <w:rStyle w:val="12"/>
                <w:rFonts w:cs="Times New Roman"/>
                <w:sz w:val="20"/>
                <w:szCs w:val="20"/>
              </w:rPr>
            </w:pPr>
            <w:r>
              <w:rPr>
                <w:rStyle w:val="12"/>
                <w:rFonts w:cs="Times New Roman"/>
                <w:sz w:val="20"/>
                <w:szCs w:val="20"/>
              </w:rPr>
              <w:t>2º GRAU</w:t>
            </w:r>
          </w:p>
        </w:tc>
        <w:tc>
          <w:tcPr>
            <w:tcW w:w="4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tabs>
                <w:tab w:val="left" w:pos="2552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12"/>
                <w:rFonts w:cs="Times New Roman"/>
                <w:sz w:val="20"/>
                <w:szCs w:val="20"/>
              </w:rPr>
              <w:t>Manutenção preventiva, aplicada aos sistemas, no todo ou em parte, caracterizada por sua maior complexidade tecnológica, envolvendo apenas os recursos disponíveis ou anteriormente previstos para sua execução..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tabs>
                <w:tab w:val="left" w:pos="2552"/>
              </w:tabs>
              <w:spacing w:line="360" w:lineRule="auto"/>
              <w:ind w:right="34"/>
              <w:jc w:val="center"/>
              <w:rPr>
                <w:rStyle w:val="12"/>
                <w:rFonts w:cs="Times New Roman"/>
                <w:sz w:val="20"/>
                <w:szCs w:val="20"/>
              </w:rPr>
            </w:pPr>
            <w:r>
              <w:rPr>
                <w:rStyle w:val="12"/>
                <w:rFonts w:cs="Times New Roman"/>
                <w:sz w:val="20"/>
                <w:szCs w:val="20"/>
              </w:rPr>
              <w:t>3º GRAU</w:t>
            </w:r>
          </w:p>
        </w:tc>
        <w:tc>
          <w:tcPr>
            <w:tcW w:w="4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tabs>
                <w:tab w:val="left" w:pos="2552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12"/>
                <w:rFonts w:cs="Times New Roman"/>
                <w:sz w:val="20"/>
                <w:szCs w:val="20"/>
              </w:rPr>
              <w:t>Manutenção corretiva aplicada aos sistemas, no todo ou em parte, de relativa simplicidade envolvendo apenas os recursos disponíveis ou anteriormente previstos para sua execução.</w:t>
            </w:r>
          </w:p>
        </w:tc>
      </w:tr>
    </w:tbl>
    <w:p>
      <w:pPr>
        <w:pStyle w:val="17"/>
        <w:tabs>
          <w:tab w:val="left" w:pos="255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>
      <w:pPr>
        <w:pStyle w:val="17"/>
        <w:tabs>
          <w:tab w:val="left" w:pos="255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>
      <w:pPr>
        <w:pStyle w:val="17"/>
        <w:tabs>
          <w:tab w:val="left" w:pos="255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>
      <w:pPr>
        <w:pStyle w:val="17"/>
        <w:tabs>
          <w:tab w:val="left" w:pos="255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>
      <w:pPr>
        <w:pStyle w:val="2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Níveis de Situação Anormal:</w:t>
      </w:r>
    </w:p>
    <w:p>
      <w:pPr>
        <w:pStyle w:val="22"/>
        <w:numPr>
          <w:ilvl w:val="2"/>
          <w:numId w:val="1"/>
        </w:numPr>
        <w:tabs>
          <w:tab w:val="left" w:pos="1560"/>
        </w:tabs>
        <w:spacing w:line="360" w:lineRule="auto"/>
        <w:ind w:left="1560" w:hanging="709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É a graduação de consequências que as falhas e defeitos poderão acarretar nos equipamentos ou nos sistemas.</w:t>
      </w:r>
    </w:p>
    <w:p>
      <w:pPr>
        <w:pStyle w:val="17"/>
        <w:tabs>
          <w:tab w:val="left" w:pos="2552"/>
        </w:tabs>
        <w:spacing w:line="360" w:lineRule="auto"/>
        <w:ind w:left="1440"/>
        <w:jc w:val="both"/>
        <w:rPr>
          <w:rStyle w:val="12"/>
          <w:rFonts w:asciiTheme="minorHAnsi" w:hAnsiTheme="minorHAnsi" w:cstheme="minorHAnsi"/>
          <w:sz w:val="20"/>
          <w:szCs w:val="20"/>
        </w:rPr>
      </w:pPr>
    </w:p>
    <w:tbl>
      <w:tblPr>
        <w:tblStyle w:val="4"/>
        <w:tblW w:w="4871" w:type="pct"/>
        <w:tblInd w:w="255" w:type="dxa"/>
        <w:tblLayout w:type="autofit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2910"/>
        <w:gridCol w:w="6695"/>
      </w:tblGrid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tabs>
                <w:tab w:val="left" w:pos="2552"/>
              </w:tabs>
              <w:spacing w:line="360" w:lineRule="auto"/>
              <w:ind w:right="34"/>
              <w:jc w:val="center"/>
              <w:rPr>
                <w:rStyle w:val="12"/>
                <w:rFonts w:cs="Times New Roman"/>
                <w:sz w:val="20"/>
                <w:szCs w:val="20"/>
              </w:rPr>
            </w:pPr>
            <w:r>
              <w:rPr>
                <w:rStyle w:val="12"/>
                <w:rFonts w:cs="Times New Roman"/>
                <w:sz w:val="20"/>
                <w:szCs w:val="20"/>
              </w:rPr>
              <w:t>Nível I - Emergência</w:t>
            </w:r>
          </w:p>
        </w:tc>
        <w:tc>
          <w:tcPr>
            <w:tcW w:w="3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tabs>
                <w:tab w:val="left" w:pos="2552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12"/>
                <w:rFonts w:cs="Times New Roman"/>
                <w:sz w:val="20"/>
                <w:szCs w:val="20"/>
              </w:rPr>
              <w:t>Ocorrência de defeito ou falha num equipamento, componente ou sistema que resulte na paralisação parcial ou total de atividades operacionais da UFF.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tabs>
                <w:tab w:val="left" w:pos="2552"/>
              </w:tabs>
              <w:spacing w:line="360" w:lineRule="auto"/>
              <w:ind w:right="34"/>
              <w:jc w:val="center"/>
              <w:rPr>
                <w:rStyle w:val="12"/>
                <w:rFonts w:cs="Times New Roman"/>
                <w:sz w:val="20"/>
                <w:szCs w:val="20"/>
              </w:rPr>
            </w:pPr>
            <w:r>
              <w:rPr>
                <w:rStyle w:val="12"/>
                <w:rFonts w:cs="Times New Roman"/>
                <w:sz w:val="20"/>
                <w:szCs w:val="20"/>
              </w:rPr>
              <w:t>Nível II - Alerta</w:t>
            </w:r>
          </w:p>
        </w:tc>
        <w:tc>
          <w:tcPr>
            <w:tcW w:w="3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tabs>
                <w:tab w:val="left" w:pos="2552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12"/>
                <w:rFonts w:cs="Times New Roman"/>
                <w:sz w:val="20"/>
                <w:szCs w:val="20"/>
              </w:rPr>
              <w:t>Ocorrência de defeito ou falha em equipamento, componente ou sistema que poderá acarretar uma situação de Nível I.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tabs>
                <w:tab w:val="left" w:pos="2552"/>
              </w:tabs>
              <w:spacing w:line="360" w:lineRule="auto"/>
              <w:ind w:right="34"/>
              <w:jc w:val="center"/>
              <w:rPr>
                <w:rStyle w:val="12"/>
                <w:rFonts w:cs="Times New Roman"/>
                <w:sz w:val="20"/>
                <w:szCs w:val="20"/>
              </w:rPr>
            </w:pPr>
            <w:r>
              <w:rPr>
                <w:rStyle w:val="12"/>
                <w:rFonts w:cs="Times New Roman"/>
                <w:sz w:val="20"/>
                <w:szCs w:val="20"/>
              </w:rPr>
              <w:t>Nível III - Falha</w:t>
            </w:r>
          </w:p>
        </w:tc>
        <w:tc>
          <w:tcPr>
            <w:tcW w:w="3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tabs>
                <w:tab w:val="left" w:pos="2552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12"/>
                <w:rFonts w:cs="Times New Roman"/>
                <w:sz w:val="20"/>
                <w:szCs w:val="20"/>
              </w:rPr>
              <w:t>Ocorrência de falha em equipamento, componente ou sistema, mas sem atingir as consequências do Nível II.</w:t>
            </w:r>
          </w:p>
        </w:tc>
      </w:tr>
    </w:tbl>
    <w:p>
      <w:pPr>
        <w:pStyle w:val="17"/>
        <w:tabs>
          <w:tab w:val="left" w:pos="2552"/>
        </w:tabs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>
      <w:pPr>
        <w:pStyle w:val="2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Tempo de Atendimento:</w:t>
      </w:r>
    </w:p>
    <w:p>
      <w:pPr>
        <w:pStyle w:val="22"/>
        <w:numPr>
          <w:ilvl w:val="2"/>
          <w:numId w:val="1"/>
        </w:numPr>
        <w:tabs>
          <w:tab w:val="left" w:pos="1560"/>
        </w:tabs>
        <w:spacing w:line="360" w:lineRule="auto"/>
        <w:ind w:left="1560" w:hanging="709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É o tempo ou período determinado para mobilização pela Contratada dos recursos necessários visando sanar um defeito ou falha. A medição do tempo de atendimento será a diferença entre o horário da abertura do chamado na CMA/SOMA e o horário de chegada de profissional de manutenção ao local da ocorrência.</w:t>
      </w:r>
    </w:p>
    <w:p>
      <w:pPr>
        <w:pStyle w:val="22"/>
        <w:numPr>
          <w:ilvl w:val="2"/>
          <w:numId w:val="1"/>
        </w:numPr>
        <w:tabs>
          <w:tab w:val="left" w:pos="1560"/>
        </w:tabs>
        <w:spacing w:line="360" w:lineRule="auto"/>
        <w:ind w:left="1560" w:hanging="709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De acordo com os níveis de Situação Anormal o tempo de atendimento das equipes de manutenção corretiva deverá ser de:</w:t>
      </w:r>
    </w:p>
    <w:tbl>
      <w:tblPr>
        <w:tblStyle w:val="4"/>
        <w:tblW w:w="4872" w:type="pct"/>
        <w:jc w:val="center"/>
        <w:tblLayout w:type="autofit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3549"/>
        <w:gridCol w:w="6058"/>
      </w:tblGrid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tabs>
                <w:tab w:val="left" w:pos="2552"/>
              </w:tabs>
              <w:spacing w:line="360" w:lineRule="auto"/>
              <w:ind w:right="34"/>
              <w:jc w:val="center"/>
              <w:rPr>
                <w:rStyle w:val="12"/>
                <w:rFonts w:cs="Times New Roman"/>
                <w:sz w:val="20"/>
                <w:szCs w:val="20"/>
              </w:rPr>
            </w:pPr>
            <w:r>
              <w:rPr>
                <w:rStyle w:val="12"/>
                <w:rFonts w:cs="Times New Roman"/>
                <w:sz w:val="20"/>
                <w:szCs w:val="20"/>
              </w:rPr>
              <w:t>Nível I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tabs>
                <w:tab w:val="left" w:pos="2552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12"/>
                <w:rFonts w:cs="Times New Roman"/>
                <w:sz w:val="20"/>
                <w:szCs w:val="20"/>
              </w:rPr>
              <w:t>Até 90 minutos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tabs>
                <w:tab w:val="left" w:pos="2552"/>
              </w:tabs>
              <w:spacing w:line="360" w:lineRule="auto"/>
              <w:ind w:right="34"/>
              <w:jc w:val="center"/>
              <w:rPr>
                <w:rStyle w:val="12"/>
                <w:rFonts w:cs="Times New Roman"/>
                <w:sz w:val="20"/>
                <w:szCs w:val="20"/>
              </w:rPr>
            </w:pPr>
            <w:r>
              <w:rPr>
                <w:rStyle w:val="12"/>
                <w:rFonts w:cs="Times New Roman"/>
                <w:sz w:val="20"/>
                <w:szCs w:val="20"/>
              </w:rPr>
              <w:t>Nível II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tabs>
                <w:tab w:val="left" w:pos="2552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12"/>
                <w:rFonts w:cs="Times New Roman"/>
                <w:sz w:val="20"/>
                <w:szCs w:val="20"/>
              </w:rPr>
              <w:t>Até 120 minutos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17"/>
              <w:tabs>
                <w:tab w:val="left" w:pos="2552"/>
              </w:tabs>
              <w:spacing w:line="360" w:lineRule="auto"/>
              <w:ind w:right="34"/>
              <w:jc w:val="center"/>
              <w:rPr>
                <w:rStyle w:val="12"/>
                <w:rFonts w:cs="Times New Roman"/>
                <w:sz w:val="20"/>
                <w:szCs w:val="20"/>
              </w:rPr>
            </w:pPr>
            <w:r>
              <w:rPr>
                <w:rStyle w:val="12"/>
                <w:rFonts w:cs="Times New Roman"/>
                <w:sz w:val="20"/>
                <w:szCs w:val="20"/>
              </w:rPr>
              <w:t>Nível III</w:t>
            </w:r>
          </w:p>
        </w:tc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tabs>
                <w:tab w:val="left" w:pos="2552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12"/>
                <w:rFonts w:cs="Times New Roman"/>
                <w:sz w:val="20"/>
                <w:szCs w:val="20"/>
              </w:rPr>
              <w:t>Até 180 minutos</w:t>
            </w:r>
          </w:p>
        </w:tc>
      </w:tr>
    </w:tbl>
    <w:p>
      <w:pPr>
        <w:pStyle w:val="17"/>
        <w:tabs>
          <w:tab w:val="left" w:pos="8505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426"/>
          <w:tab w:val="left" w:pos="1326"/>
        </w:tabs>
        <w:autoSpaceDE w:val="0"/>
        <w:autoSpaceDN w:val="0"/>
        <w:spacing w:before="0" w:line="360" w:lineRule="auto"/>
        <w:jc w:val="both"/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</w:pPr>
      <w:r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  <w:t>O relatório técnico mensal de atividades deverá ser entregue até o quinto dia útil do mês subsequente, comprovado através de protocolo assinado pela Contratante. Caso o prazo não seja cumprido, a glosa a ser aplicada será de 5% sobre a fatura mensal.</w:t>
      </w:r>
    </w:p>
    <w:p>
      <w:pPr>
        <w:pStyle w:val="2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O relatório técnico mensal de todos os serviços executados deverá estar devidamente assinado pelos profissionais envolvidos, contendo:</w:t>
      </w:r>
    </w:p>
    <w:p>
      <w:pPr>
        <w:pStyle w:val="22"/>
        <w:numPr>
          <w:ilvl w:val="2"/>
          <w:numId w:val="1"/>
        </w:numPr>
        <w:tabs>
          <w:tab w:val="left" w:pos="1560"/>
        </w:tabs>
        <w:spacing w:line="360" w:lineRule="auto"/>
        <w:ind w:left="1560" w:hanging="709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Nome e função dos profissionais alocados para execução dos serviços no mês de referência do relatório;</w:t>
      </w:r>
    </w:p>
    <w:p>
      <w:pPr>
        <w:pStyle w:val="22"/>
        <w:numPr>
          <w:ilvl w:val="2"/>
          <w:numId w:val="1"/>
        </w:numPr>
        <w:tabs>
          <w:tab w:val="left" w:pos="1560"/>
        </w:tabs>
        <w:spacing w:line="360" w:lineRule="auto"/>
        <w:ind w:left="1560" w:hanging="709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Descrição dos serviços preventivos e corretivos executados no mês, bem como falhas de testes, incluindo a data, o horário e o local dos mesmos;</w:t>
      </w:r>
    </w:p>
    <w:p>
      <w:pPr>
        <w:pStyle w:val="22"/>
        <w:numPr>
          <w:ilvl w:val="2"/>
          <w:numId w:val="1"/>
        </w:numPr>
        <w:tabs>
          <w:tab w:val="left" w:pos="1560"/>
        </w:tabs>
        <w:spacing w:line="360" w:lineRule="auto"/>
        <w:ind w:left="1560" w:hanging="709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Relação de peças, componentes e materiais substituídos por defeito/desgaste ou utilizadas em ampliações/modificações;</w:t>
      </w:r>
    </w:p>
    <w:p>
      <w:pPr>
        <w:pStyle w:val="22"/>
        <w:numPr>
          <w:ilvl w:val="2"/>
          <w:numId w:val="1"/>
        </w:numPr>
        <w:tabs>
          <w:tab w:val="left" w:pos="1560"/>
        </w:tabs>
        <w:spacing w:line="360" w:lineRule="auto"/>
        <w:ind w:left="1560" w:hanging="709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Relação de serviços em andamento com estimativa de prazo de conclusão, e a executar com estimativa de prazo de início;</w:t>
      </w:r>
    </w:p>
    <w:p>
      <w:pPr>
        <w:pStyle w:val="22"/>
        <w:numPr>
          <w:ilvl w:val="2"/>
          <w:numId w:val="1"/>
        </w:numPr>
        <w:tabs>
          <w:tab w:val="left" w:pos="1560"/>
        </w:tabs>
        <w:spacing w:line="360" w:lineRule="auto"/>
        <w:ind w:left="1560" w:hanging="709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Leitura dos instrumentos de medida antes e depois dos serviços;</w:t>
      </w:r>
    </w:p>
    <w:p>
      <w:pPr>
        <w:pStyle w:val="22"/>
        <w:numPr>
          <w:ilvl w:val="2"/>
          <w:numId w:val="1"/>
        </w:numPr>
        <w:tabs>
          <w:tab w:val="left" w:pos="1560"/>
        </w:tabs>
        <w:spacing w:line="360" w:lineRule="auto"/>
        <w:ind w:left="1560" w:hanging="709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Análise dos testes;</w:t>
      </w:r>
    </w:p>
    <w:p>
      <w:pPr>
        <w:pStyle w:val="22"/>
        <w:numPr>
          <w:ilvl w:val="2"/>
          <w:numId w:val="1"/>
        </w:numPr>
        <w:tabs>
          <w:tab w:val="left" w:pos="1560"/>
        </w:tabs>
        <w:spacing w:line="360" w:lineRule="auto"/>
        <w:ind w:left="1560" w:hanging="709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Resumo das anormalidades e dos fatos ocorridos no período, incluindo a falta de energia e picos de consumo de energia;</w:t>
      </w:r>
    </w:p>
    <w:p>
      <w:pPr>
        <w:pStyle w:val="22"/>
        <w:numPr>
          <w:ilvl w:val="2"/>
          <w:numId w:val="1"/>
        </w:numPr>
        <w:tabs>
          <w:tab w:val="left" w:pos="1560"/>
        </w:tabs>
        <w:spacing w:line="360" w:lineRule="auto"/>
        <w:ind w:left="1560" w:hanging="709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Relação de pendências, razões de sua existência e quais destas dependem de solução do Contratante;</w:t>
      </w:r>
    </w:p>
    <w:p>
      <w:pPr>
        <w:pStyle w:val="22"/>
        <w:numPr>
          <w:ilvl w:val="2"/>
          <w:numId w:val="1"/>
        </w:numPr>
        <w:tabs>
          <w:tab w:val="left" w:pos="1560"/>
        </w:tabs>
        <w:spacing w:line="360" w:lineRule="auto"/>
        <w:ind w:left="1560" w:hanging="709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Acidentes de trabalho porventura ocorridos e suas causas;</w:t>
      </w:r>
    </w:p>
    <w:p>
      <w:pPr>
        <w:pStyle w:val="22"/>
        <w:numPr>
          <w:ilvl w:val="2"/>
          <w:numId w:val="1"/>
        </w:numPr>
        <w:tabs>
          <w:tab w:val="left" w:pos="1560"/>
        </w:tabs>
        <w:spacing w:line="360" w:lineRule="auto"/>
        <w:ind w:left="1560" w:hanging="709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Estudos e levantamentos realizados;</w:t>
      </w:r>
    </w:p>
    <w:p>
      <w:pPr>
        <w:pStyle w:val="22"/>
        <w:numPr>
          <w:ilvl w:val="2"/>
          <w:numId w:val="1"/>
        </w:numPr>
        <w:tabs>
          <w:tab w:val="left" w:pos="1560"/>
        </w:tabs>
        <w:spacing w:line="360" w:lineRule="auto"/>
        <w:ind w:left="1560" w:hanging="709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Informações sobre a situação dos sistemas e equipamentos, indicando deficiências;</w:t>
      </w:r>
    </w:p>
    <w:p>
      <w:pPr>
        <w:pStyle w:val="22"/>
        <w:numPr>
          <w:ilvl w:val="2"/>
          <w:numId w:val="1"/>
        </w:numPr>
        <w:tabs>
          <w:tab w:val="left" w:pos="1560"/>
        </w:tabs>
        <w:spacing w:line="360" w:lineRule="auto"/>
        <w:ind w:left="1560" w:hanging="709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Sugestões de modificações nas instalações, objetivando otimizar os sistemas e economizar energia;</w:t>
      </w:r>
    </w:p>
    <w:p>
      <w:pPr>
        <w:pStyle w:val="22"/>
        <w:numPr>
          <w:ilvl w:val="2"/>
          <w:numId w:val="1"/>
        </w:numPr>
        <w:tabs>
          <w:tab w:val="left" w:pos="1560"/>
        </w:tabs>
        <w:spacing w:after="0" w:line="360" w:lineRule="auto"/>
        <w:ind w:left="1560" w:hanging="709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Dados relevantes registrados no Livro de Ocorrências;</w:t>
      </w:r>
    </w:p>
    <w:p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426"/>
          <w:tab w:val="left" w:pos="1326"/>
        </w:tabs>
        <w:autoSpaceDE w:val="0"/>
        <w:autoSpaceDN w:val="0"/>
        <w:spacing w:before="0" w:line="360" w:lineRule="auto"/>
        <w:jc w:val="both"/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</w:pPr>
      <w:r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  <w:t>Todas as rotinas e Instrumento de Medição de Resultados (IMR) possuem elementos e princípios oriundos do conceito de Gestão Integrada, tais como: celeridade, atenção e integralidade do atendimento ao cliente paciente, usuário e colaborador, buscando humanização do atendimento e otimização da força de trabalho com padronização dos serviços.</w:t>
      </w:r>
    </w:p>
    <w:p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426"/>
          <w:tab w:val="left" w:pos="1326"/>
        </w:tabs>
        <w:autoSpaceDE w:val="0"/>
        <w:autoSpaceDN w:val="0"/>
        <w:spacing w:before="0" w:line="360" w:lineRule="auto"/>
        <w:jc w:val="both"/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</w:pPr>
      <w:r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  <w:t>Todas as recomendações de conformidade e readequação das rotinas executadas pela Contratada serão informadas por está à Contratante, que deverá colaborar no que couber com relação ao cumprimento destas, sobretudo quando se tratar de funcionários ou servidores que não pertençam ao quadro de pessoal da Contratada.</w:t>
      </w:r>
    </w:p>
    <w:p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426"/>
          <w:tab w:val="left" w:pos="1326"/>
        </w:tabs>
        <w:autoSpaceDE w:val="0"/>
        <w:autoSpaceDN w:val="0"/>
        <w:spacing w:before="0" w:line="360" w:lineRule="auto"/>
        <w:jc w:val="both"/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</w:pPr>
      <w:r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  <w:t>A Contratada deverá utilizar canais de comunicação e, a critério a ser definido junto à Contratante, promover treinamentos e palestras através de equipes interdisciplinares que atuarão junto aos servidores e empregados públicos da UFF, a fim de conscientizar a todos dos novos parâmetros e políticas de gestão integrada de manutenção.</w:t>
      </w:r>
    </w:p>
    <w:p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426"/>
          <w:tab w:val="left" w:pos="1326"/>
        </w:tabs>
        <w:autoSpaceDE w:val="0"/>
        <w:autoSpaceDN w:val="0"/>
        <w:spacing w:before="0" w:line="360" w:lineRule="auto"/>
        <w:jc w:val="both"/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</w:pPr>
      <w:r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  <w:t>Deverão ser considerados como serviços a serem executadas todas as rotinas, informações e recomendações contidas nos Boletins Técnicos, Catálogos, Manuais de Operação e de Manutenção dos fabricantes dos equipamentos em questão.</w:t>
      </w:r>
    </w:p>
    <w:p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426"/>
          <w:tab w:val="left" w:pos="1326"/>
        </w:tabs>
        <w:autoSpaceDE w:val="0"/>
        <w:autoSpaceDN w:val="0"/>
        <w:spacing w:before="0" w:line="360" w:lineRule="auto"/>
        <w:jc w:val="both"/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</w:pPr>
      <w:r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  <w:t>Nos finais de semana, feriados e após o expediente normal de serviços, os plantonistas deverão estar equipados com rádios de comunicação, podendo assim ser acionados em qualquer emergência.</w:t>
      </w:r>
    </w:p>
    <w:p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426"/>
          <w:tab w:val="left" w:pos="1326"/>
        </w:tabs>
        <w:autoSpaceDE w:val="0"/>
        <w:autoSpaceDN w:val="0"/>
        <w:spacing w:before="0" w:line="360" w:lineRule="auto"/>
        <w:jc w:val="both"/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</w:pPr>
      <w:r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  <w:t>A Contratada deverá fornecer o livro de registros de manutenção e submeter o modelo que pretende utilizar para análise da Fiscalização do Contrato até 10 (dez) dias úteis após a assinatura do Contrato.</w:t>
      </w:r>
    </w:p>
    <w:p>
      <w:pPr>
        <w:pStyle w:val="2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O Livro de Registro deve ter suas páginas numeradas na forma de um Livro Ata.</w:t>
      </w:r>
    </w:p>
    <w:p>
      <w:pPr>
        <w:pStyle w:val="2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Deverão ser registradas no Livro as seguintes informações: data e período da solicitação, solicitante, equipamento/instalação envolvida, tipo de ação realizada e descrição e quantitativo das peças e materiais substituídos/utilizados.</w:t>
      </w:r>
    </w:p>
    <w:p>
      <w:pPr>
        <w:pStyle w:val="2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Todos os relatos no livro deverão exibir a identificação e a assinatura do responsável pelas informações apresentadas.</w:t>
      </w:r>
    </w:p>
    <w:p>
      <w:pPr>
        <w:pStyle w:val="2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 xml:space="preserve">Caso não haja ocorrência no dia, deverá ser anotada a data e a expressão “sem ocorrências”. </w:t>
      </w:r>
    </w:p>
    <w:p>
      <w:pPr>
        <w:pStyle w:val="2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O Livro deverá ser assinado mensalmente pelos engenheiros responsáveis técnicos pelo Contrato, anotada a expressão “fechamento do mês”.</w:t>
      </w:r>
    </w:p>
    <w:p>
      <w:pPr>
        <w:pStyle w:val="2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O volume em aberto bem como o volume encerrado deverão permanecer sempre na CMA/SOMA para consulta ou arquivamento.</w:t>
      </w:r>
    </w:p>
    <w:p>
      <w:pPr>
        <w:pStyle w:val="22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>Se previamente aprovado pela Fiscalização, a Contratada poderá adotar meio eletrônico alternativo para registro, desde que esse seja tecnicamente compatível.</w:t>
      </w:r>
    </w:p>
    <w:p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426"/>
          <w:tab w:val="left" w:pos="1326"/>
        </w:tabs>
        <w:autoSpaceDE w:val="0"/>
        <w:autoSpaceDN w:val="0"/>
        <w:spacing w:before="0" w:line="360" w:lineRule="auto"/>
        <w:jc w:val="both"/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</w:pPr>
      <w:r>
        <w:rPr>
          <w:rFonts w:ascii="Times New Roman" w:hAnsi="Times New Roman" w:eastAsia="Arial" w:cs="Times New Roman"/>
          <w:b w:val="0"/>
          <w:color w:val="auto"/>
          <w:sz w:val="20"/>
          <w:szCs w:val="20"/>
          <w:lang w:val="pt-PT" w:eastAsia="en-US"/>
        </w:rPr>
        <w:t xml:space="preserve">A remuneração dos serviços prestados na Gestão Integrada da Infraestrutura deverá ser constituída por remuneração fixa sendo, no entanto, permitido à Contratante descontar em até 15% (quinze por cento) do valor mensal do contrato. O percentual do desconto será mensurado de acordo com os critérios abaixo descritos: </w:t>
      </w:r>
    </w:p>
    <w:p>
      <w:pPr>
        <w:pStyle w:val="22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szCs w:val="20"/>
          <w:lang w:val="pt-PT" w:eastAsia="en-US"/>
        </w:rPr>
        <w:t xml:space="preserve">Tempo de atendimento de Ordens de Serviço Corretivas: 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  <w:lang w:val="pt-PT" w:eastAsia="en-US"/>
        </w:rPr>
      </w:pPr>
    </w:p>
    <w:p>
      <w:pPr>
        <w:pStyle w:val="17"/>
        <w:tabs>
          <w:tab w:val="left" w:pos="8505"/>
        </w:tabs>
        <w:spacing w:line="360" w:lineRule="auto"/>
        <w:jc w:val="center"/>
        <w:rPr>
          <w:rStyle w:val="12"/>
          <w:rFonts w:cs="Times New Roman"/>
          <w:sz w:val="20"/>
          <w:szCs w:val="20"/>
        </w:rPr>
      </w:pPr>
      <w:r>
        <w:rPr>
          <w:rStyle w:val="12"/>
          <w:rFonts w:cs="Times New Roman"/>
          <w:b/>
          <w:sz w:val="20"/>
          <w:szCs w:val="20"/>
        </w:rPr>
        <w:t>AOSC (%) = QTosa / QTos</w:t>
      </w:r>
    </w:p>
    <w:p>
      <w:pPr>
        <w:pStyle w:val="17"/>
        <w:tabs>
          <w:tab w:val="left" w:pos="8505"/>
        </w:tabs>
        <w:spacing w:line="360" w:lineRule="auto"/>
        <w:jc w:val="center"/>
        <w:rPr>
          <w:rStyle w:val="12"/>
          <w:rFonts w:cs="Times New Roman"/>
          <w:sz w:val="20"/>
          <w:szCs w:val="20"/>
        </w:rPr>
      </w:pPr>
      <w:r>
        <w:rPr>
          <w:rStyle w:val="12"/>
          <w:rFonts w:cs="Times New Roman"/>
          <w:sz w:val="20"/>
          <w:szCs w:val="20"/>
        </w:rPr>
        <w:t>Sendo que:</w:t>
      </w:r>
    </w:p>
    <w:p>
      <w:pPr>
        <w:pStyle w:val="17"/>
        <w:tabs>
          <w:tab w:val="left" w:pos="8505"/>
        </w:tabs>
        <w:spacing w:line="360" w:lineRule="auto"/>
        <w:jc w:val="center"/>
        <w:rPr>
          <w:rStyle w:val="12"/>
          <w:rFonts w:cs="Times New Roman"/>
          <w:sz w:val="20"/>
          <w:szCs w:val="20"/>
        </w:rPr>
      </w:pPr>
      <w:r>
        <w:rPr>
          <w:rStyle w:val="12"/>
          <w:rFonts w:cs="Times New Roman"/>
          <w:sz w:val="20"/>
          <w:szCs w:val="20"/>
        </w:rPr>
        <w:t>Se AOSC (%) &lt; 95%, o VTD (%) = 5%</w:t>
      </w:r>
    </w:p>
    <w:p>
      <w:pPr>
        <w:pStyle w:val="17"/>
        <w:tabs>
          <w:tab w:val="left" w:pos="8505"/>
        </w:tabs>
        <w:spacing w:line="360" w:lineRule="auto"/>
        <w:jc w:val="center"/>
        <w:rPr>
          <w:rStyle w:val="12"/>
          <w:rFonts w:cs="Times New Roman"/>
          <w:sz w:val="20"/>
          <w:szCs w:val="20"/>
        </w:rPr>
      </w:pPr>
      <w:r>
        <w:rPr>
          <w:rStyle w:val="12"/>
          <w:rFonts w:cs="Times New Roman"/>
          <w:sz w:val="20"/>
          <w:szCs w:val="20"/>
        </w:rPr>
        <w:t>Se AOSC (%) &gt; 95%, o VTD (%) = 0%</w:t>
      </w:r>
    </w:p>
    <w:p>
      <w:pPr>
        <w:pStyle w:val="17"/>
        <w:tabs>
          <w:tab w:val="left" w:pos="8505"/>
        </w:tabs>
        <w:spacing w:line="360" w:lineRule="auto"/>
        <w:ind w:left="426"/>
        <w:jc w:val="both"/>
        <w:rPr>
          <w:rStyle w:val="12"/>
          <w:rFonts w:cs="Times New Roman"/>
          <w:sz w:val="20"/>
          <w:szCs w:val="20"/>
        </w:rPr>
      </w:pPr>
      <w:r>
        <w:rPr>
          <w:rStyle w:val="12"/>
          <w:rFonts w:cs="Times New Roman"/>
          <w:sz w:val="20"/>
          <w:szCs w:val="20"/>
        </w:rPr>
        <w:t xml:space="preserve">Onde, </w:t>
      </w:r>
    </w:p>
    <w:p>
      <w:pPr>
        <w:pStyle w:val="17"/>
        <w:tabs>
          <w:tab w:val="left" w:pos="8505"/>
        </w:tabs>
        <w:spacing w:line="360" w:lineRule="auto"/>
        <w:ind w:left="426"/>
        <w:jc w:val="both"/>
        <w:rPr>
          <w:rStyle w:val="12"/>
          <w:rFonts w:cs="Times New Roman"/>
          <w:sz w:val="20"/>
          <w:szCs w:val="20"/>
        </w:rPr>
      </w:pPr>
      <w:r>
        <w:rPr>
          <w:rStyle w:val="12"/>
          <w:rFonts w:cs="Times New Roman"/>
          <w:sz w:val="20"/>
          <w:szCs w:val="20"/>
        </w:rPr>
        <w:t xml:space="preserve">AOSC (%) = Percentual Inicial de Ordens de Serviço Corretivas atendidas; </w:t>
      </w:r>
    </w:p>
    <w:p>
      <w:pPr>
        <w:pStyle w:val="17"/>
        <w:tabs>
          <w:tab w:val="left" w:pos="8505"/>
        </w:tabs>
        <w:spacing w:line="360" w:lineRule="auto"/>
        <w:ind w:left="426"/>
        <w:jc w:val="both"/>
        <w:rPr>
          <w:rStyle w:val="12"/>
          <w:rFonts w:cs="Times New Roman"/>
          <w:sz w:val="20"/>
          <w:szCs w:val="20"/>
        </w:rPr>
      </w:pPr>
      <w:r>
        <w:rPr>
          <w:rStyle w:val="12"/>
          <w:rFonts w:cs="Times New Roman"/>
          <w:sz w:val="20"/>
          <w:szCs w:val="20"/>
        </w:rPr>
        <w:t xml:space="preserve">QTos = Quantidade de Ordens de Serviço Corretivas solicitadas; </w:t>
      </w:r>
    </w:p>
    <w:p>
      <w:pPr>
        <w:pStyle w:val="17"/>
        <w:tabs>
          <w:tab w:val="left" w:pos="8505"/>
        </w:tabs>
        <w:spacing w:line="360" w:lineRule="auto"/>
        <w:ind w:left="426"/>
        <w:jc w:val="both"/>
        <w:rPr>
          <w:rStyle w:val="12"/>
          <w:rFonts w:cs="Times New Roman"/>
          <w:sz w:val="20"/>
          <w:szCs w:val="20"/>
        </w:rPr>
      </w:pPr>
      <w:r>
        <w:rPr>
          <w:rStyle w:val="12"/>
          <w:rFonts w:cs="Times New Roman"/>
          <w:sz w:val="20"/>
          <w:szCs w:val="20"/>
        </w:rPr>
        <w:t xml:space="preserve">QTosa = Quantidade de Ordens de Serviço Corretivas atendidas; </w:t>
      </w:r>
    </w:p>
    <w:p>
      <w:pPr>
        <w:pStyle w:val="17"/>
        <w:tabs>
          <w:tab w:val="left" w:pos="8505"/>
        </w:tabs>
        <w:spacing w:line="360" w:lineRule="auto"/>
        <w:ind w:left="426"/>
        <w:jc w:val="both"/>
        <w:rPr>
          <w:rStyle w:val="12"/>
          <w:rFonts w:cs="Times New Roman"/>
          <w:sz w:val="20"/>
          <w:szCs w:val="20"/>
        </w:rPr>
      </w:pPr>
      <w:r>
        <w:rPr>
          <w:rStyle w:val="12"/>
          <w:rFonts w:cs="Times New Roman"/>
          <w:sz w:val="20"/>
          <w:szCs w:val="20"/>
        </w:rPr>
        <w:t xml:space="preserve">VTD = Percentual do desconto a ser aplicado sobre a fatura mensal. </w:t>
      </w:r>
    </w:p>
    <w:p>
      <w:pPr>
        <w:pStyle w:val="17"/>
        <w:tabs>
          <w:tab w:val="left" w:pos="8505"/>
        </w:tabs>
        <w:spacing w:line="360" w:lineRule="auto"/>
        <w:ind w:left="426"/>
        <w:jc w:val="both"/>
        <w:rPr>
          <w:rStyle w:val="12"/>
          <w:rFonts w:cs="Times New Roman"/>
          <w:b/>
          <w:bCs/>
          <w:sz w:val="20"/>
          <w:szCs w:val="20"/>
        </w:rPr>
      </w:pPr>
      <w:r>
        <w:rPr>
          <w:rStyle w:val="12"/>
          <w:rFonts w:cs="Times New Roman"/>
          <w:b/>
          <w:bCs/>
          <w:sz w:val="20"/>
          <w:szCs w:val="20"/>
        </w:rPr>
        <w:t>Obs.: consideram-se OS’s atendidas todas aquelas que forem finalizadas dentro dos prazos estipulados.</w:t>
      </w:r>
    </w:p>
    <w:p>
      <w:pPr>
        <w:pStyle w:val="17"/>
        <w:tabs>
          <w:tab w:val="left" w:pos="8505"/>
        </w:tabs>
        <w:spacing w:line="360" w:lineRule="auto"/>
        <w:ind w:left="720"/>
        <w:jc w:val="both"/>
        <w:rPr>
          <w:rStyle w:val="12"/>
          <w:rFonts w:asciiTheme="minorHAnsi" w:hAnsiTheme="minorHAnsi" w:cstheme="minorHAnsi"/>
          <w:sz w:val="20"/>
          <w:szCs w:val="20"/>
        </w:rPr>
      </w:pPr>
    </w:p>
    <w:p>
      <w:pPr>
        <w:pStyle w:val="22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18"/>
          <w:szCs w:val="20"/>
          <w:lang w:val="pt-PT" w:eastAsia="en-US"/>
        </w:rPr>
      </w:pPr>
      <w:r>
        <w:rPr>
          <w:rFonts w:ascii="Times New Roman" w:hAnsi="Times New Roman" w:cs="Times New Roman"/>
          <w:sz w:val="20"/>
          <w:lang w:val="pt-PT" w:eastAsia="en-US"/>
        </w:rPr>
        <w:t xml:space="preserve">Manutenção preventiva: </w:t>
      </w:r>
    </w:p>
    <w:p>
      <w:pPr>
        <w:pStyle w:val="17"/>
        <w:tabs>
          <w:tab w:val="left" w:pos="8505"/>
        </w:tabs>
        <w:spacing w:line="360" w:lineRule="auto"/>
        <w:jc w:val="both"/>
        <w:rPr>
          <w:rFonts w:cs="Times New Roman"/>
          <w:sz w:val="20"/>
          <w:szCs w:val="20"/>
          <w:highlight w:val="yellow"/>
        </w:rPr>
      </w:pPr>
    </w:p>
    <w:p>
      <w:pPr>
        <w:pStyle w:val="17"/>
        <w:tabs>
          <w:tab w:val="left" w:pos="8505"/>
        </w:tabs>
        <w:spacing w:line="360" w:lineRule="auto"/>
        <w:jc w:val="center"/>
        <w:rPr>
          <w:rStyle w:val="12"/>
          <w:rFonts w:cs="Times New Roman"/>
          <w:sz w:val="20"/>
          <w:szCs w:val="20"/>
        </w:rPr>
      </w:pPr>
      <w:r>
        <w:rPr>
          <w:rStyle w:val="12"/>
          <w:rFonts w:cs="Times New Roman"/>
          <w:b/>
          <w:sz w:val="20"/>
          <w:szCs w:val="20"/>
        </w:rPr>
        <w:t>MPE (%) = QTmpe / QTmpp</w:t>
      </w:r>
    </w:p>
    <w:p>
      <w:pPr>
        <w:pStyle w:val="17"/>
        <w:tabs>
          <w:tab w:val="left" w:pos="8505"/>
        </w:tabs>
        <w:spacing w:line="360" w:lineRule="auto"/>
        <w:jc w:val="center"/>
        <w:rPr>
          <w:rStyle w:val="12"/>
          <w:rFonts w:cs="Times New Roman"/>
          <w:sz w:val="20"/>
          <w:szCs w:val="20"/>
        </w:rPr>
      </w:pPr>
      <w:r>
        <w:rPr>
          <w:rStyle w:val="12"/>
          <w:rFonts w:cs="Times New Roman"/>
          <w:sz w:val="20"/>
          <w:szCs w:val="20"/>
        </w:rPr>
        <w:t>Sendo que:</w:t>
      </w:r>
    </w:p>
    <w:p>
      <w:pPr>
        <w:pStyle w:val="17"/>
        <w:tabs>
          <w:tab w:val="left" w:pos="8505"/>
        </w:tabs>
        <w:spacing w:line="360" w:lineRule="auto"/>
        <w:jc w:val="center"/>
        <w:rPr>
          <w:rStyle w:val="12"/>
          <w:rFonts w:cs="Times New Roman"/>
          <w:sz w:val="20"/>
          <w:szCs w:val="20"/>
        </w:rPr>
      </w:pPr>
      <w:r>
        <w:rPr>
          <w:rStyle w:val="12"/>
          <w:rFonts w:cs="Times New Roman"/>
          <w:sz w:val="20"/>
          <w:szCs w:val="20"/>
        </w:rPr>
        <w:t>se MPE (%) &lt; 95%, o VTD (%) = 5%</w:t>
      </w:r>
    </w:p>
    <w:p>
      <w:pPr>
        <w:pStyle w:val="17"/>
        <w:tabs>
          <w:tab w:val="left" w:pos="8505"/>
        </w:tabs>
        <w:spacing w:line="360" w:lineRule="auto"/>
        <w:jc w:val="center"/>
        <w:rPr>
          <w:rStyle w:val="12"/>
          <w:rFonts w:cs="Times New Roman"/>
          <w:sz w:val="20"/>
          <w:szCs w:val="20"/>
        </w:rPr>
      </w:pPr>
      <w:r>
        <w:rPr>
          <w:rStyle w:val="12"/>
          <w:rFonts w:cs="Times New Roman"/>
          <w:sz w:val="20"/>
          <w:szCs w:val="20"/>
        </w:rPr>
        <w:t>se MPE (%) &gt; 95%, o VTD (%) = 0%</w:t>
      </w:r>
    </w:p>
    <w:p>
      <w:pPr>
        <w:pStyle w:val="17"/>
        <w:tabs>
          <w:tab w:val="left" w:pos="426"/>
          <w:tab w:val="left" w:pos="8505"/>
        </w:tabs>
        <w:spacing w:line="360" w:lineRule="auto"/>
        <w:ind w:left="426"/>
        <w:jc w:val="both"/>
        <w:rPr>
          <w:rStyle w:val="12"/>
          <w:rFonts w:cs="Times New Roman"/>
          <w:sz w:val="20"/>
          <w:szCs w:val="20"/>
        </w:rPr>
      </w:pPr>
      <w:r>
        <w:rPr>
          <w:rStyle w:val="12"/>
          <w:rFonts w:cs="Times New Roman"/>
          <w:sz w:val="20"/>
          <w:szCs w:val="20"/>
        </w:rPr>
        <w:t xml:space="preserve">Onde, </w:t>
      </w:r>
    </w:p>
    <w:p>
      <w:pPr>
        <w:pStyle w:val="17"/>
        <w:tabs>
          <w:tab w:val="left" w:pos="426"/>
          <w:tab w:val="left" w:pos="8505"/>
        </w:tabs>
        <w:spacing w:line="360" w:lineRule="auto"/>
        <w:ind w:left="426"/>
        <w:jc w:val="both"/>
        <w:rPr>
          <w:rStyle w:val="12"/>
          <w:rFonts w:cs="Times New Roman"/>
          <w:sz w:val="20"/>
          <w:szCs w:val="20"/>
        </w:rPr>
      </w:pPr>
      <w:r>
        <w:rPr>
          <w:rStyle w:val="12"/>
          <w:rFonts w:cs="Times New Roman"/>
          <w:sz w:val="20"/>
          <w:szCs w:val="20"/>
        </w:rPr>
        <w:t xml:space="preserve">MPE (%) = Percentual Inicial de Ordens de Serviço Preventivas executadas; </w:t>
      </w:r>
    </w:p>
    <w:p>
      <w:pPr>
        <w:pStyle w:val="17"/>
        <w:tabs>
          <w:tab w:val="left" w:pos="426"/>
          <w:tab w:val="left" w:pos="8505"/>
        </w:tabs>
        <w:spacing w:line="360" w:lineRule="auto"/>
        <w:ind w:left="426"/>
        <w:jc w:val="both"/>
        <w:rPr>
          <w:rStyle w:val="12"/>
          <w:rFonts w:cs="Times New Roman"/>
          <w:sz w:val="20"/>
          <w:szCs w:val="20"/>
        </w:rPr>
      </w:pPr>
      <w:r>
        <w:rPr>
          <w:rStyle w:val="12"/>
          <w:rFonts w:cs="Times New Roman"/>
          <w:sz w:val="20"/>
          <w:szCs w:val="20"/>
        </w:rPr>
        <w:t xml:space="preserve">QTmpe = Quantidade de Ordens de Serviço Preventivas executadas; </w:t>
      </w:r>
    </w:p>
    <w:p>
      <w:pPr>
        <w:pStyle w:val="17"/>
        <w:tabs>
          <w:tab w:val="left" w:pos="426"/>
          <w:tab w:val="left" w:pos="8505"/>
        </w:tabs>
        <w:spacing w:line="360" w:lineRule="auto"/>
        <w:ind w:left="426"/>
        <w:jc w:val="both"/>
        <w:rPr>
          <w:rStyle w:val="12"/>
          <w:rFonts w:cs="Times New Roman"/>
          <w:sz w:val="20"/>
          <w:szCs w:val="20"/>
        </w:rPr>
      </w:pPr>
      <w:r>
        <w:rPr>
          <w:rStyle w:val="12"/>
          <w:rFonts w:cs="Times New Roman"/>
          <w:sz w:val="20"/>
          <w:szCs w:val="20"/>
        </w:rPr>
        <w:t xml:space="preserve">QTmpp = Quantidade de Ordens de Serviço Preventivas programadas; </w:t>
      </w:r>
    </w:p>
    <w:p>
      <w:pPr>
        <w:tabs>
          <w:tab w:val="left" w:pos="426"/>
        </w:tabs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Style w:val="12"/>
          <w:rFonts w:ascii="Times New Roman" w:hAnsi="Times New Roman" w:cs="Times New Roman"/>
          <w:sz w:val="20"/>
          <w:szCs w:val="20"/>
        </w:rPr>
        <w:t>VTD = Percentual do desconto a ser aplicado sobre a fatura mensal.</w:t>
      </w:r>
    </w:p>
    <w:p>
      <w:pPr>
        <w:spacing w:line="360" w:lineRule="auto"/>
        <w:rPr>
          <w:rFonts w:cstheme="minorHAnsi"/>
          <w:sz w:val="20"/>
          <w:szCs w:val="20"/>
        </w:rPr>
      </w:pPr>
    </w:p>
    <w:p>
      <w:pPr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Niterói, 24 de maIo de 2021.</w:t>
      </w:r>
    </w:p>
    <w:p>
      <w:pPr>
        <w:spacing w:line="360" w:lineRule="auto"/>
        <w:rPr>
          <w:rFonts w:cstheme="minorHAnsi"/>
          <w:sz w:val="20"/>
          <w:szCs w:val="20"/>
        </w:rPr>
      </w:pPr>
    </w:p>
    <w:p>
      <w:pPr>
        <w:spacing w:after="0" w:line="360" w:lineRule="auto"/>
        <w:rPr>
          <w:rFonts w:ascii="Calibri" w:hAnsi="Calibri" w:cs="Calibri"/>
          <w:b/>
          <w:bCs/>
          <w:sz w:val="20"/>
          <w:szCs w:val="20"/>
        </w:rPr>
      </w:pPr>
    </w:p>
    <w:p>
      <w:pPr>
        <w:pStyle w:val="5"/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</w:t>
      </w:r>
    </w:p>
    <w:p>
      <w:pPr>
        <w:pStyle w:val="6"/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[Assinatura]</w:t>
      </w:r>
    </w:p>
    <w:p>
      <w:pPr>
        <w:spacing w:line="360" w:lineRule="auto"/>
        <w:rPr>
          <w:rFonts w:cstheme="minorHAnsi"/>
          <w:sz w:val="20"/>
          <w:szCs w:val="20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708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Liberation Sans Narrow">
    <w:panose1 w:val="020B0606020202030204"/>
    <w:charset w:val="00"/>
    <w:family w:val="swiss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i/>
        <w:iCs/>
        <w:sz w:val="18"/>
        <w:szCs w:val="18"/>
      </w:rPr>
    </w:pPr>
    <w:r>
      <w:rPr>
        <w:i/>
        <w:iCs/>
        <w:sz w:val="18"/>
        <w:szCs w:val="18"/>
      </w:rPr>
      <w:t>Anexo IV - IMR Processo 23069.164162/2021-19</w:t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t xml:space="preserve">Página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PAGE  \* Arabic  \* MERGEFORMAT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de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NUMPAGES  \* Arabic  \* MERGEFORMAT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2</w:t>
    </w:r>
    <w:r>
      <w:rPr>
        <w:i/>
        <w:iCs/>
        <w:sz w:val="18"/>
        <w:szCs w:val="18"/>
      </w:rPr>
      <w:fldChar w:fldCharType="end"/>
    </w:r>
  </w:p>
  <w:p>
    <w:pPr>
      <w:pStyle w:val="9"/>
    </w:pPr>
  </w:p>
  <w:p>
    <w:pPr>
      <w:pStyle w:val="9"/>
    </w:pP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Calibri" w:hAnsi="Calibri" w:eastAsia="Calibri" w:cs="Calibri"/>
        <w:b/>
        <w:color w:val="FF0000"/>
      </w:rPr>
    </w:pPr>
    <w:r>
      <w:rPr>
        <w:rFonts w:ascii="Calibri" w:hAnsi="Calibri" w:eastAsia="Calibri" w:cs="Calibri"/>
        <w:b/>
        <w:color w:val="FF0000"/>
      </w:rPr>
      <w:drawing>
        <wp:inline distT="0" distB="0" distL="0" distR="0">
          <wp:extent cx="5829300" cy="74803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2148" cy="753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after="0" w:line="240" w:lineRule="auto"/>
      <w:jc w:val="center"/>
      <w:rPr>
        <w:rFonts w:ascii="Calibri" w:hAnsi="Calibri" w:eastAsia="Calibri" w:cs="Calibri"/>
        <w:b/>
      </w:rPr>
    </w:pPr>
    <w:r>
      <w:rPr>
        <w:rFonts w:ascii="Calibri" w:hAnsi="Calibri" w:eastAsia="Calibri" w:cs="Calibri"/>
        <w:b/>
      </w:rPr>
      <w:t>Ministério da Educação</w:t>
    </w:r>
  </w:p>
  <w:p>
    <w:pPr>
      <w:spacing w:after="0" w:line="240" w:lineRule="auto"/>
      <w:jc w:val="center"/>
      <w:rPr>
        <w:rFonts w:ascii="Calibri" w:hAnsi="Calibri" w:eastAsia="Calibri" w:cs="Calibri"/>
        <w:b/>
      </w:rPr>
    </w:pPr>
    <w:r>
      <w:rPr>
        <w:rFonts w:ascii="Calibri" w:hAnsi="Calibri" w:eastAsia="Calibri" w:cs="Calibri"/>
        <w:b/>
      </w:rPr>
      <w:t>Universidade Federal Fluminense</w:t>
    </w:r>
  </w:p>
  <w:p>
    <w:pPr>
      <w:tabs>
        <w:tab w:val="center" w:pos="4252"/>
        <w:tab w:val="right" w:pos="8504"/>
      </w:tabs>
      <w:spacing w:after="0" w:line="240" w:lineRule="auto"/>
      <w:jc w:val="center"/>
      <w:rPr>
        <w:rFonts w:ascii="Calibri" w:hAnsi="Calibri" w:eastAsia="Calibri" w:cs="Calibri"/>
        <w:b/>
      </w:rPr>
    </w:pPr>
    <w:r>
      <w:rPr>
        <w:rFonts w:ascii="Calibri" w:hAnsi="Calibri" w:eastAsia="Calibri" w:cs="Calibri"/>
        <w:b/>
      </w:rPr>
      <w:t>Superintendência de Operações e Manutenção - SOMA</w:t>
    </w:r>
  </w:p>
  <w:p>
    <w:pPr>
      <w:tabs>
        <w:tab w:val="center" w:pos="4252"/>
        <w:tab w:val="right" w:pos="8504"/>
      </w:tabs>
      <w:spacing w:after="0" w:line="240" w:lineRule="auto"/>
      <w:jc w:val="center"/>
      <w:rPr>
        <w:rFonts w:ascii="Calibri" w:hAnsi="Calibri" w:eastAsia="Calibri" w:cs="Calibri"/>
        <w:b/>
      </w:rPr>
    </w:pPr>
    <w:r>
      <w:rPr>
        <w:rFonts w:ascii="Calibri" w:hAnsi="Calibri" w:eastAsia="Calibri" w:cs="Calibri"/>
        <w:b/>
      </w:rPr>
      <w:t>Coordenação de Manutenção - CMA</w:t>
    </w:r>
  </w:p>
  <w:p>
    <w:pPr>
      <w:suppressAutoHyphens/>
      <w:spacing w:after="0" w:line="240" w:lineRule="auto"/>
      <w:jc w:val="center"/>
      <w:rPr>
        <w:rFonts w:eastAsia="Times New Roman" w:cstheme="minorHAnsi"/>
        <w:color w:val="000000"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B46E9"/>
    <w:multiLevelType w:val="multilevel"/>
    <w:tmpl w:val="093B46E9"/>
    <w:lvl w:ilvl="0" w:tentative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AA"/>
    <w:rsid w:val="00176A0A"/>
    <w:rsid w:val="001A0B6B"/>
    <w:rsid w:val="001A4A45"/>
    <w:rsid w:val="001D4A30"/>
    <w:rsid w:val="0038686A"/>
    <w:rsid w:val="003A6029"/>
    <w:rsid w:val="004857E9"/>
    <w:rsid w:val="004D1EE0"/>
    <w:rsid w:val="00606734"/>
    <w:rsid w:val="00613FAA"/>
    <w:rsid w:val="00666AB9"/>
    <w:rsid w:val="00734303"/>
    <w:rsid w:val="00766D7C"/>
    <w:rsid w:val="008109BD"/>
    <w:rsid w:val="0087442B"/>
    <w:rsid w:val="00985D18"/>
    <w:rsid w:val="00A255A0"/>
    <w:rsid w:val="00AF0FB2"/>
    <w:rsid w:val="00B43598"/>
    <w:rsid w:val="00B84FD6"/>
    <w:rsid w:val="00C971E1"/>
    <w:rsid w:val="00DD58DA"/>
    <w:rsid w:val="00EB7ED1"/>
    <w:rsid w:val="407C2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21"/>
    <w:qFormat/>
    <w:uiPriority w:val="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"/>
    <w:basedOn w:val="6"/>
    <w:qFormat/>
    <w:uiPriority w:val="0"/>
    <w:rPr>
      <w:rFonts w:cs="Arial"/>
    </w:rPr>
  </w:style>
  <w:style w:type="paragraph" w:styleId="6">
    <w:name w:val="Body Text"/>
    <w:basedOn w:val="1"/>
    <w:qFormat/>
    <w:uiPriority w:val="0"/>
    <w:pPr>
      <w:spacing w:after="140"/>
    </w:pPr>
  </w:style>
  <w:style w:type="paragraph" w:styleId="7">
    <w:name w:val="Title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header"/>
    <w:basedOn w:val="1"/>
    <w:link w:val="14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er"/>
    <w:basedOn w:val="1"/>
    <w:link w:val="15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Fonte parág. padrão6"/>
    <w:qFormat/>
    <w:uiPriority w:val="0"/>
  </w:style>
  <w:style w:type="character" w:customStyle="1" w:styleId="13">
    <w:name w:val="Texto de balão Char"/>
    <w:basedOn w:val="3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Cabeçalho Char"/>
    <w:basedOn w:val="3"/>
    <w:link w:val="8"/>
    <w:qFormat/>
    <w:uiPriority w:val="99"/>
  </w:style>
  <w:style w:type="character" w:customStyle="1" w:styleId="15">
    <w:name w:val="Rodapé Char"/>
    <w:basedOn w:val="3"/>
    <w:link w:val="9"/>
    <w:qFormat/>
    <w:uiPriority w:val="99"/>
  </w:style>
  <w:style w:type="paragraph" w:customStyle="1" w:styleId="16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7">
    <w:name w:val="Parágrafo da Lista1"/>
    <w:basedOn w:val="1"/>
    <w:qFormat/>
    <w:uiPriority w:val="0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eastAsia="Lucida Sans Unicode" w:cs="Mangal"/>
      <w:kern w:val="2"/>
      <w:sz w:val="24"/>
      <w:szCs w:val="24"/>
      <w:lang w:eastAsia="zh-CN" w:bidi="hi-IN"/>
    </w:rPr>
  </w:style>
  <w:style w:type="paragraph" w:customStyle="1" w:styleId="18">
    <w:name w:val="Cabeçalho e Rodapé"/>
    <w:basedOn w:val="1"/>
    <w:qFormat/>
    <w:uiPriority w:val="0"/>
  </w:style>
  <w:style w:type="paragraph" w:customStyle="1" w:styleId="19">
    <w:name w:val="Nivel1"/>
    <w:basedOn w:val="2"/>
    <w:link w:val="20"/>
    <w:qFormat/>
    <w:uiPriority w:val="0"/>
    <w:pPr>
      <w:suppressAutoHyphens/>
    </w:pPr>
    <w:rPr>
      <w:rFonts w:ascii="Arial" w:hAnsi="Arial" w:eastAsia="MS Gothic" w:cs="Times New Roman"/>
      <w:bCs w:val="0"/>
      <w:color w:val="000000"/>
      <w:szCs w:val="20"/>
      <w:lang w:bidi="pt-BR"/>
    </w:rPr>
  </w:style>
  <w:style w:type="character" w:customStyle="1" w:styleId="20">
    <w:name w:val="Nivel1 Char"/>
    <w:basedOn w:val="21"/>
    <w:link w:val="19"/>
    <w:qFormat/>
    <w:uiPriority w:val="0"/>
    <w:rPr>
      <w:rFonts w:ascii="Arial" w:hAnsi="Arial" w:eastAsia="MS Gothic" w:cs="Times New Roman"/>
      <w:bCs w:val="0"/>
      <w:color w:val="000000"/>
      <w:sz w:val="28"/>
      <w:szCs w:val="20"/>
      <w:lang w:bidi="pt-BR"/>
    </w:rPr>
  </w:style>
  <w:style w:type="character" w:customStyle="1" w:styleId="21">
    <w:name w:val="Título 1 Char"/>
    <w:basedOn w:val="3"/>
    <w:link w:val="2"/>
    <w:qFormat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1319</Words>
  <Characters>7127</Characters>
  <Lines>59</Lines>
  <Paragraphs>16</Paragraphs>
  <TotalTime>4</TotalTime>
  <ScaleCrop>false</ScaleCrop>
  <LinksUpToDate>false</LinksUpToDate>
  <CharactersWithSpaces>8430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2021-09-27T02:06:00Z</dcterms:created>
  <dc:creator>Lenovo</dc:creator>
  <cp:lastModifiedBy>Juliana Borsoi</cp:lastModifiedBy>
  <cp:lastPrinted>2021-09-27T03:23:00Z</cp:lastPrinted>
  <dcterms:modified xsi:type="dcterms:W3CDTF">2021-11-05T14:40:14Z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1046-11.2.0.10351</vt:lpwstr>
  </property>
  <property fmtid="{D5CDD505-2E9C-101B-9397-08002B2CF9AE}" pid="9" name="ICV">
    <vt:lpwstr>F63CDD8BC9664BF990B38FA726A8F311</vt:lpwstr>
  </property>
</Properties>
</file>