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BF5D" w14:textId="77777777" w:rsidR="00535DD5" w:rsidRDefault="0023719D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19899E" wp14:editId="7FC14E2F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E0200A" w14:textId="77777777" w:rsidR="00535DD5" w:rsidRDefault="0023719D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5E39DD86" w14:textId="77777777" w:rsidR="00535DD5" w:rsidRDefault="0023719D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6CF438DD" w14:textId="77777777" w:rsidR="00535DD5" w:rsidRDefault="0023719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703678A8" w14:textId="77777777" w:rsidR="00535DD5" w:rsidRDefault="00535DD5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4BFC754" w14:textId="63EBBDBC" w:rsidR="00535DD5" w:rsidRPr="008060A0" w:rsidRDefault="0023719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</w:t>
      </w:r>
      <w:r w:rsidRPr="008060A0">
        <w:rPr>
          <w:rFonts w:ascii="Calibri" w:eastAsia="Calibri" w:hAnsi="Calibri" w:cs="Calibri"/>
          <w:b/>
          <w:color w:val="FF0000"/>
          <w:sz w:val="22"/>
          <w:szCs w:val="22"/>
        </w:rPr>
        <w:t>PREGÃO ELETRÔNICO</w:t>
      </w:r>
      <w:r w:rsidRPr="008060A0">
        <w:rPr>
          <w:rFonts w:ascii="Calibri" w:eastAsia="Calibri" w:hAnsi="Calibri" w:cs="Calibri"/>
          <w:b/>
          <w:color w:val="FF0000"/>
          <w:sz w:val="22"/>
          <w:szCs w:val="22"/>
        </w:rPr>
        <w:t xml:space="preserve"> N.º </w:t>
      </w:r>
      <w:r w:rsidR="008060A0" w:rsidRPr="008060A0">
        <w:rPr>
          <w:rFonts w:ascii="Calibri" w:eastAsia="Calibri" w:hAnsi="Calibri" w:cs="Calibri"/>
          <w:b/>
          <w:color w:val="FF0000"/>
          <w:sz w:val="22"/>
          <w:szCs w:val="22"/>
        </w:rPr>
        <w:t>71</w:t>
      </w:r>
      <w:r w:rsidRPr="008060A0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14:paraId="7C4EDCEB" w14:textId="77777777" w:rsidR="00535DD5" w:rsidRDefault="00535DD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87E29DD" w14:textId="77777777" w:rsidR="00535DD5" w:rsidRDefault="0023719D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14:paraId="1B19054A" w14:textId="77777777" w:rsidR="00535DD5" w:rsidRDefault="00535DD5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9ECA10E" w14:textId="77777777" w:rsidR="00535DD5" w:rsidRDefault="00535DD5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5EB6043" w14:textId="77777777" w:rsidR="00535DD5" w:rsidRDefault="0023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61D8E3CC" w14:textId="77777777" w:rsidR="00535DD5" w:rsidRDefault="00237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58A7F3E2" w14:textId="77777777" w:rsidR="00535DD5" w:rsidRDefault="002371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Nota Fiscal ou Fatura deverá ser obrigatoriamente acompanhada da comprovação da regularidade fiscal, consta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14:paraId="3E43F8B9" w14:textId="77777777" w:rsidR="00535DD5" w:rsidRDefault="002371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</w:t>
      </w:r>
      <w:r>
        <w:rPr>
          <w:rFonts w:ascii="Calibri" w:eastAsia="Calibri" w:hAnsi="Calibri" w:cs="Calibri"/>
          <w:color w:val="000000"/>
          <w:sz w:val="22"/>
          <w:szCs w:val="22"/>
        </w:rPr>
        <w:t>entação de comprovação, por meio de documento oficial, de que faz jus ao tratamento tributário favorecido previsto na referida Lei Complementar.</w:t>
      </w:r>
    </w:p>
    <w:p w14:paraId="50A99FF5" w14:textId="77777777" w:rsidR="00535DD5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</w:t>
      </w:r>
      <w:r>
        <w:rPr>
          <w:rFonts w:ascii="Calibri" w:eastAsia="Calibri" w:hAnsi="Calibri" w:cs="Calibri"/>
          <w:color w:val="000000"/>
          <w:sz w:val="22"/>
          <w:szCs w:val="22"/>
        </w:rPr>
        <w:t>rente);</w:t>
      </w:r>
    </w:p>
    <w:p w14:paraId="166A502D" w14:textId="77777777" w:rsidR="00535DD5" w:rsidRDefault="00535DD5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927D7B" w14:textId="77777777" w:rsidR="00535DD5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14:paraId="19E494D4" w14:textId="77777777" w:rsidR="00535DD5" w:rsidRDefault="00535D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12E44E1" w14:textId="77777777" w:rsidR="00535DD5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171570F7" w14:textId="77777777" w:rsidR="00535DD5" w:rsidRDefault="00535D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C9B65B6" w14:textId="77777777" w:rsidR="00535DD5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14:paraId="6099B083" w14:textId="77777777" w:rsidR="00535DD5" w:rsidRDefault="00535D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35DD5" w14:paraId="116B8513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70AE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68906394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06491098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3C0E49F2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0B37A1A2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704079B9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748A9F0C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05047E7B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1874F68C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5A2325BC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35DD5" w14:paraId="6AD02FD4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F355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14:paraId="0B6FDE05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5DA52CFF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24BC21E8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606D9101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6660B764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14:paraId="276863FA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35DD5" w14:paraId="74D9F9FF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D931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14:paraId="40E40C56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07BA096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07084755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63A54C36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5769A6A2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14:paraId="0B2A67BA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35DD5" w14:paraId="7C1130E3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AB03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14:paraId="09A58A34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14:paraId="2EB3A6E3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14:paraId="3D161C92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14:paraId="1452D92B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14:paraId="49620F14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14:paraId="51E93E8B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35DD5" w14:paraId="3439F3D0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ED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14:paraId="5C7D1B6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14:paraId="469207F4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14:paraId="6B47EFEF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14:paraId="41CC8AED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14:paraId="5EFA7D8A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14:paraId="4AAEEFFF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535DD5" w14:paraId="10A360C8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34CD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63565D5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(VCH)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-  Unidade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Participante (se for o caso)</w:t>
            </w:r>
          </w:p>
          <w:p w14:paraId="19904930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4F5481B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78021E8D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045B00D6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323BBDBA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38EA53F3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14:paraId="66C4816A" w14:textId="77777777" w:rsidR="00535DD5" w:rsidRDefault="00535DD5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BA5B885" w14:textId="77777777" w:rsidR="00535DD5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3FA48734" w14:textId="77777777" w:rsidR="00535DD5" w:rsidRDefault="00535D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35DD5" w14:paraId="6996C592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BB45" w14:textId="77777777" w:rsidR="00535DD5" w:rsidRDefault="0023719D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14:paraId="2C9416B1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3748DC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0BF3017B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14:paraId="048C9232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1FD138B8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3879B94B" w14:textId="77777777" w:rsidR="00535DD5" w:rsidRDefault="0023719D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30C652E8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14:paraId="43674DE5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242C32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14:paraId="1FC06A7C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14:paraId="33C1D550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2E2135BB" w14:textId="77777777" w:rsidR="00535DD5" w:rsidRDefault="0023719D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14:paraId="4B170E57" w14:textId="77777777" w:rsidR="00535DD5" w:rsidRDefault="0023719D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4E8DFD6A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14:paraId="383FB53C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187D95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535DD5" w14:paraId="72A3C8E7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6966" w14:textId="77777777" w:rsidR="00535DD5" w:rsidRDefault="0023719D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14:paraId="54A65574" w14:textId="77777777" w:rsidR="00535DD5" w:rsidRDefault="00535DD5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C293675" w14:textId="77777777" w:rsidR="00535DD5" w:rsidRDefault="0023719D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241AEEE3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84B3FC6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14:paraId="39DA6972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14:paraId="0B0BFE14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1EF990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14:paraId="4D590146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14:paraId="6A92ACD9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FDF98B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14:paraId="055B14E1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14:paraId="123CA4E1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14:paraId="3B8DF480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E9A525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14:paraId="517163B1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14:paraId="060A62AF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787DD5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14:paraId="44803F4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14:paraId="07094E88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167DEB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14:paraId="78E950EC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14:paraId="29D2628D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1B7598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14:paraId="437B0ECD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Maria da Costa, 115 A - Jurujuba, Niterói – RJ</w:t>
            </w:r>
          </w:p>
          <w:p w14:paraId="62F3AC5B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280FC0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14:paraId="50F119C8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14:paraId="4C76F01D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E655F1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14:paraId="647BA403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14:paraId="76500065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62C25D0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14:paraId="16B397F9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14:paraId="02D9E53B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C3BBDA1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14:paraId="1AE6C859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14:paraId="22A0B64E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7E9C1D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14:paraId="3637CCD8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14:paraId="15BA38D0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223BD6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14:paraId="505E4407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14:paraId="4B649EBA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E2A2BC5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14:paraId="62DE1B7A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14:paraId="7DD0FB59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14:paraId="554771FA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EC6C59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14:paraId="790554B7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14:paraId="5C8FEE22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8AF7FB9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ROESTE FLUMINENSE DE EDUCAÇÃO SUPERIOR</w:t>
            </w:r>
          </w:p>
          <w:p w14:paraId="1FC388DE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s/n.º, Centro, Santo Antônio de Pádua – RJ</w:t>
            </w:r>
          </w:p>
          <w:p w14:paraId="2B666A04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2FDEC3B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14:paraId="325C3F91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14:paraId="17FF76FE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E84B588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14:paraId="0434F249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14:paraId="7E3F7FC1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1519E1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14:paraId="758EB5DC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14:paraId="7EE3B30D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58FCED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14:paraId="70EBC5AB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14:paraId="200B2C75" w14:textId="77777777" w:rsidR="00535DD5" w:rsidRDefault="00535D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B5459D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 ENGENHARIA DE PETRÓPOLIS</w:t>
            </w:r>
          </w:p>
          <w:p w14:paraId="303C9252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14:paraId="1EC6180D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957068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14:paraId="70061CC5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358AAD59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4290BDF" w14:textId="77777777" w:rsidR="00535DD5" w:rsidRDefault="002371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14:paraId="55B92A00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14:paraId="3B8D207C" w14:textId="77777777" w:rsidR="00535DD5" w:rsidRDefault="00237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14:paraId="302410C3" w14:textId="77777777" w:rsidR="00535DD5" w:rsidRDefault="0053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05F2B60" w14:textId="77777777" w:rsidR="00535DD5" w:rsidRPr="008060A0" w:rsidRDefault="00535DD5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E0FB341" w14:textId="77777777" w:rsidR="00535DD5" w:rsidRPr="008060A0" w:rsidRDefault="00535DD5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5C92FD" w14:textId="77777777" w:rsidR="00535DD5" w:rsidRPr="008060A0" w:rsidRDefault="002371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060A0">
        <w:rPr>
          <w:rFonts w:ascii="Calibri" w:eastAsia="Calibri" w:hAnsi="Calibri" w:cs="Calibri"/>
          <w:b/>
          <w:color w:val="000000"/>
          <w:sz w:val="22"/>
          <w:szCs w:val="22"/>
        </w:rPr>
        <w:t>ÓRGÃOS PARTICIPANTES</w:t>
      </w:r>
    </w:p>
    <w:p w14:paraId="197FCD9A" w14:textId="77777777" w:rsidR="00535DD5" w:rsidRPr="008060A0" w:rsidRDefault="0023719D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sz w:val="22"/>
          <w:szCs w:val="22"/>
        </w:rPr>
      </w:pPr>
      <w:r w:rsidRPr="008060A0">
        <w:rPr>
          <w:rFonts w:ascii="Calibri" w:eastAsia="Calibri" w:hAnsi="Calibri" w:cs="Calibri"/>
          <w:sz w:val="22"/>
          <w:szCs w:val="22"/>
        </w:rPr>
        <w:t>Não houve participantes externos.</w:t>
      </w:r>
    </w:p>
    <w:p w14:paraId="4C49A266" w14:textId="3CDE4662" w:rsidR="00535DD5" w:rsidRPr="008060A0" w:rsidRDefault="0023719D" w:rsidP="008060A0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8060A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E81279" w14:textId="77777777" w:rsidR="00535DD5" w:rsidRDefault="00535DD5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535DD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26DF" w14:textId="77777777" w:rsidR="0023719D" w:rsidRDefault="0023719D">
      <w:r>
        <w:separator/>
      </w:r>
    </w:p>
  </w:endnote>
  <w:endnote w:type="continuationSeparator" w:id="0">
    <w:p w14:paraId="1BA0C7A5" w14:textId="77777777" w:rsidR="0023719D" w:rsidRDefault="0023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1C94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CC00" w14:textId="77777777" w:rsidR="00535DD5" w:rsidRDefault="00237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9F4D6AC" w14:textId="77777777" w:rsidR="00535DD5" w:rsidRDefault="00237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060A0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060A0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0DC4094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7F9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F54E" w14:textId="77777777" w:rsidR="0023719D" w:rsidRDefault="0023719D">
      <w:r>
        <w:separator/>
      </w:r>
    </w:p>
  </w:footnote>
  <w:footnote w:type="continuationSeparator" w:id="0">
    <w:p w14:paraId="633C3358" w14:textId="77777777" w:rsidR="0023719D" w:rsidRDefault="0023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4AA4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BB6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5DE052EC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1DA00AE" w14:textId="77777777" w:rsidR="00535DD5" w:rsidRPr="008060A0" w:rsidRDefault="00237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8060A0"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2358B7A1" w14:textId="6182EC21" w:rsidR="00535DD5" w:rsidRDefault="00237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  <w:highlight w:val="yellow"/>
      </w:rPr>
    </w:pPr>
    <w:r w:rsidRPr="008060A0"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8060A0" w:rsidRPr="008060A0">
      <w:rPr>
        <w:rFonts w:ascii="Verdana" w:eastAsia="Verdana" w:hAnsi="Verdana" w:cs="Verdana"/>
        <w:color w:val="000000"/>
        <w:sz w:val="16"/>
        <w:szCs w:val="16"/>
      </w:rPr>
      <w:t>163799/2021-</w:t>
    </w:r>
    <w:r w:rsidR="008060A0" w:rsidRPr="00FE74F0">
      <w:rPr>
        <w:rFonts w:ascii="Verdana" w:eastAsia="Verdana" w:hAnsi="Verdana" w:cs="Verdana"/>
        <w:color w:val="000000"/>
        <w:sz w:val="16"/>
        <w:szCs w:val="16"/>
      </w:rPr>
      <w:t>98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5073BF" wp14:editId="0B753930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89599C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AC73" w14:textId="77777777" w:rsidR="00535DD5" w:rsidRDefault="00535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861"/>
    <w:multiLevelType w:val="multilevel"/>
    <w:tmpl w:val="3500B9B6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1" w15:restartNumberingAfterBreak="0">
    <w:nsid w:val="0DFD55F1"/>
    <w:multiLevelType w:val="multilevel"/>
    <w:tmpl w:val="67989270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C4254E"/>
    <w:multiLevelType w:val="multilevel"/>
    <w:tmpl w:val="D18A395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9640E5"/>
    <w:multiLevelType w:val="multilevel"/>
    <w:tmpl w:val="9EF6EBA0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F36F8A"/>
    <w:multiLevelType w:val="multilevel"/>
    <w:tmpl w:val="A1CCB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D5"/>
    <w:rsid w:val="0023719D"/>
    <w:rsid w:val="00535DD5"/>
    <w:rsid w:val="008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EAB0"/>
  <w15:docId w15:val="{3C333F87-E6B0-49F6-B3B3-8C2BB1A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2020-03-06T18:16:00Z</dcterms:created>
  <dcterms:modified xsi:type="dcterms:W3CDTF">2021-09-24T19:45:00Z</dcterms:modified>
</cp:coreProperties>
</file>