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5503A8DE" w:rsidR="00703EDB" w:rsidRPr="008F3E20" w:rsidRDefault="00D2031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VII 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8D4C39">
      <w:pPr>
        <w:pStyle w:val="Corpodetexto"/>
        <w:keepNext/>
        <w:keepLines/>
        <w:suppressLineNumber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8D4C39">
      <w:pPr>
        <w:pStyle w:val="Corpodetexto"/>
        <w:keepNext/>
        <w:keepLines/>
        <w:suppressLineNumber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6838E5B5" w:rsidR="00703EDB" w:rsidRPr="008F3E20" w:rsidRDefault="00703EDB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D4C39" w:rsidRPr="008D4C39">
        <w:rPr>
          <w:rFonts w:ascii="Verdana" w:hAnsi="Verdana"/>
          <w:sz w:val="16"/>
          <w:szCs w:val="16"/>
        </w:rPr>
        <w:t>23069.158433/2020-16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FA56C1" w:rsidRPr="00FA56C1">
        <w:rPr>
          <w:rFonts w:asciiTheme="minorHAnsi" w:hAnsiTheme="minorHAnsi" w:cstheme="minorHAnsi"/>
          <w:bCs/>
          <w:color w:val="FF0000"/>
          <w:sz w:val="20"/>
          <w:u w:val="none"/>
        </w:rPr>
        <w:t>56/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21E1D3C4" w:rsidR="00F5279C" w:rsidRPr="00CE681B" w:rsidRDefault="008E39D7" w:rsidP="008D4C39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bookmarkStart w:id="0" w:name="_Hlk72716796"/>
      <w:r>
        <w:rPr>
          <w:rFonts w:ascii="Calibri" w:hAnsi="Calibri" w:cs="Calibri"/>
          <w:color w:val="000000"/>
        </w:rPr>
        <w:t>Contratação de empresa especializada para prestação de serviços de portaria e zeladoria, administração predial, com fornecimento de mão de obra, uniformes e equipamentos, nas dependências da Universidade Federal Fluminense no Estado do Rio de Janeiro</w:t>
      </w:r>
      <w:bookmarkEnd w:id="0"/>
      <w:r>
        <w:rPr>
          <w:rFonts w:ascii="Calibri" w:hAnsi="Calibri" w:cs="Calibri"/>
          <w:color w:val="000000"/>
        </w:rPr>
        <w:t xml:space="preserve"> com disponibilização de solução tecnológica para gestão e fiscalização contratual, por meio de aplicação web e aplicativo mobile, observadas as condições estabelecidas no Termo de Referência – TR, </w:t>
      </w:r>
      <w:r w:rsidR="008D4C39" w:rsidRPr="00782642">
        <w:rPr>
          <w:rFonts w:asciiTheme="minorHAnsi" w:hAnsiTheme="minorHAnsi" w:cstheme="minorHAnsi"/>
        </w:rPr>
        <w:t>conforme abaixo</w:t>
      </w:r>
      <w:r w:rsidR="00CE681B" w:rsidRPr="00782642">
        <w:rPr>
          <w:rFonts w:asciiTheme="minorHAnsi" w:hAnsiTheme="minorHAnsi" w:cstheme="minorHAnsi"/>
        </w:rPr>
        <w:t>:</w:t>
      </w:r>
    </w:p>
    <w:p w14:paraId="07BA428F" w14:textId="77777777" w:rsidR="00F5279C" w:rsidRPr="008F3E20" w:rsidRDefault="00F5279C" w:rsidP="008D4C39">
      <w:pPr>
        <w:pStyle w:val="Recuodecorpodetexto2"/>
        <w:keepNext/>
        <w:keepLines/>
        <w:suppressLineNumbers/>
        <w:tabs>
          <w:tab w:val="num" w:pos="1134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9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265"/>
        <w:gridCol w:w="840"/>
        <w:gridCol w:w="1540"/>
        <w:gridCol w:w="1240"/>
        <w:gridCol w:w="1540"/>
        <w:gridCol w:w="1660"/>
      </w:tblGrid>
      <w:tr w:rsidR="008D4C39" w:rsidRPr="003A6CA5" w14:paraId="704879E4" w14:textId="77777777" w:rsidTr="006F6A57">
        <w:trPr>
          <w:trHeight w:val="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C71A81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lastRenderedPageBreak/>
              <w:t>ITEM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50BE6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DISCRIMINAÇÃO DO POSTO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437EC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POSTOS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024AC7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FUNCIONÁRIOS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FB794D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VALOR MENSAL POR POSTO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6963FB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TOTAL MENSAL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2D41F6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TOTAL ANUAL</w:t>
            </w:r>
          </w:p>
        </w:tc>
      </w:tr>
      <w:tr w:rsidR="008D4C39" w:rsidRPr="003A6CA5" w14:paraId="1D8E7275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792607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B49A4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Porteiro 44horas Segunda à Sábado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909247" w14:textId="1A0CFD7D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5</w:t>
            </w:r>
            <w:r w:rsidR="008E39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489604" w14:textId="6DF80494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B00AB1" w14:textId="482BEFB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C97103A" w14:textId="6932427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565883" w14:textId="6C4D368A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6C8C813B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C9B65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6403A9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 xml:space="preserve">Porteiro </w:t>
            </w:r>
            <w:proofErr w:type="gramStart"/>
            <w:r w:rsidRPr="003A6CA5">
              <w:rPr>
                <w:rFonts w:ascii="Calibri" w:hAnsi="Calibri" w:cs="Calibri"/>
                <w:color w:val="000000"/>
              </w:rPr>
              <w:t>44horas Segunda</w:t>
            </w:r>
            <w:proofErr w:type="gramEnd"/>
            <w:r w:rsidRPr="003A6CA5">
              <w:rPr>
                <w:rFonts w:ascii="Calibri" w:hAnsi="Calibri" w:cs="Calibri"/>
                <w:color w:val="000000"/>
              </w:rPr>
              <w:t xml:space="preserve"> à Sábado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ED5A1D" w14:textId="437E2985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A6DDB5" w14:textId="46081990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94340F" w14:textId="7579834E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C9DEBFB" w14:textId="43AA408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172CF6E" w14:textId="5897692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068CDBED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469F34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687F2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Porteiro 12x36 horas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AA4AFF" w14:textId="2633D1D3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0BEAAF" w14:textId="51EC5C84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371172" w14:textId="39620CB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A4FC08" w14:textId="4AD71C35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65B2E6" w14:textId="51AF3D7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298613DC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DDD9A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F4C619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Porteiro 12x36 horas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60776A" w14:textId="160F49AC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D1D82D" w14:textId="5ED41FEF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25F18CE" w14:textId="001059AC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47643E" w14:textId="0791D11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EDD43FD" w14:textId="018FE005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7D5101C5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B49553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D13FB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44horas Segunda à Sábado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84EEB2" w14:textId="441985DB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C5FF80" w14:textId="30BAEFB5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3E7AD5D" w14:textId="7045221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F296C9" w14:textId="35FE1A56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A8F7A3B" w14:textId="0E4CDE70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44FE6FCD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BDE8B1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4872C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44horas segunda à Sábado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1277A7" w14:textId="7D5C1A73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85253F" w14:textId="42308200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F2CB16" w14:textId="1ED0A21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665E5BB" w14:textId="786D93EB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2B0F80" w14:textId="273A08BA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14EAC42F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13DE31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3FEC05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12x36 horas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4E5D26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5852C6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C6C32D8" w14:textId="7ADBB9C8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DE77C29" w14:textId="7A53C5E4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492F5C2" w14:textId="44E75925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4D3CF73F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74F51A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EB987F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12x36 horas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4626D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4DC73F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E1A95B" w14:textId="4D4E0B6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B2AF06E" w14:textId="0BE78E6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956AD23" w14:textId="5A731488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31AD8B4C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E61C6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DD7B0F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Supervisor 44horas Segunda à Sábado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C6B2C9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C595AB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0BBA5B" w14:textId="26CF7AAC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F90B00" w14:textId="5C4038CA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27E5F3" w14:textId="46198641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0BCA7074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C5AB4A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49171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Supervisor 12x36 horas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06B135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C9036A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B94C616" w14:textId="3510810B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8005E6" w14:textId="5AEC449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B6EFC1C" w14:textId="00A1D16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0943C2A0" w14:textId="77777777" w:rsidTr="008D4C39">
        <w:trPr>
          <w:trHeight w:val="57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048C10B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22B7F6" w14:textId="6753EF59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  <w:r w:rsidR="00FA56C1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F820AB" w14:textId="42D0C0F9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  <w:r w:rsidR="00FA56C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0A4B3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FF34F12" w14:textId="2CD102A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42D4F2F" w14:textId="553351AB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00A7EEE" w14:textId="77777777" w:rsidR="00F5279C" w:rsidRPr="008F3E20" w:rsidRDefault="00F5279C" w:rsidP="008D4C39">
      <w:pPr>
        <w:pStyle w:val="Recuodecorpodetexto2"/>
        <w:keepNext/>
        <w:keepLines/>
        <w:suppressLineNumbers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8D4C39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8F3E20">
        <w:rPr>
          <w:rFonts w:asciiTheme="minorHAnsi" w:hAnsiTheme="minorHAnsi" w:cstheme="minorHAnsi"/>
          <w:i/>
        </w:rPr>
        <w:t>o  limite</w:t>
      </w:r>
      <w:proofErr w:type="gramEnd"/>
      <w:r w:rsidRPr="008F3E20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8D4C39">
      <w:pPr>
        <w:pStyle w:val="Corpodetexto"/>
        <w:keepNext/>
        <w:keepLines/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8D4C39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D4C39">
      <w:pPr>
        <w:pStyle w:val="Corpodetexto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2E8AB25B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As despesas decorrentes desta contratação estão programadas em dotação orçamentária própria, prevista no orçamento da União, para o exercício de 20</w:t>
      </w:r>
      <w:r w:rsidR="008D4C39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8D4C39">
      <w:pPr>
        <w:pStyle w:val="Ttulo8"/>
        <w:keepLines/>
        <w:suppressLineNumber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8D4C39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D4C39">
      <w:pPr>
        <w:pStyle w:val="Corpodetexto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8D4C39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8D4C39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Indenizações e multas.</w:t>
      </w:r>
    </w:p>
    <w:p w14:paraId="3F6B0C5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108A37EF" w14:textId="77777777" w:rsidR="008D4C39" w:rsidRPr="008F3E20" w:rsidRDefault="008D4C39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21908D17" w14:textId="77777777" w:rsidR="008D4C39" w:rsidRPr="00580F8F" w:rsidRDefault="008D4C39" w:rsidP="008D4C39">
      <w:pPr>
        <w:pStyle w:val="Nivel01Titulo"/>
        <w:numPr>
          <w:ilvl w:val="1"/>
          <w:numId w:val="15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418166D9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580F8F">
        <w:rPr>
          <w:rFonts w:asciiTheme="minorHAnsi" w:hAnsiTheme="minorHAnsi" w:cstheme="minorHAnsi"/>
        </w:rPr>
        <w:t>Julho</w:t>
      </w:r>
      <w:proofErr w:type="gramEnd"/>
      <w:r w:rsidRPr="00580F8F">
        <w:rPr>
          <w:rFonts w:asciiTheme="minorHAnsi" w:hAnsiTheme="minorHAnsi" w:cstheme="minorHAnsi"/>
        </w:rPr>
        <w:t xml:space="preserve"> de 2020.</w:t>
      </w:r>
    </w:p>
    <w:p w14:paraId="1C537537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8C4856A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A crédito a ser pago à cessionária é exatamente aquele que seria destinado </w:t>
      </w:r>
      <w:proofErr w:type="gramStart"/>
      <w:r w:rsidRPr="00580F8F">
        <w:rPr>
          <w:rFonts w:asciiTheme="minorHAnsi" w:hAnsiTheme="minorHAnsi" w:cstheme="minorHAnsi"/>
        </w:rPr>
        <w:t>à</w:t>
      </w:r>
      <w:proofErr w:type="gramEnd"/>
      <w:r w:rsidRPr="00580F8F">
        <w:rPr>
          <w:rFonts w:asciiTheme="minorHAnsi" w:hAnsiTheme="minorHAnsi" w:cstheme="minorHAnsi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8D4C39">
      <w:pPr>
        <w:keepNext/>
        <w:keepLines/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BB52708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</w:t>
      </w:r>
      <w:r w:rsidR="00FA56C1" w:rsidRPr="008F3E20">
        <w:rPr>
          <w:rFonts w:asciiTheme="minorHAnsi" w:hAnsiTheme="minorHAnsi" w:cstheme="minorHAnsi"/>
        </w:rPr>
        <w:t xml:space="preserve">É eleito o Foro </w:t>
      </w:r>
      <w:r w:rsidR="00FA56C1" w:rsidRPr="00FA56C1">
        <w:rPr>
          <w:rFonts w:asciiTheme="minorHAnsi" w:hAnsiTheme="minorHAnsi" w:cstheme="minorHAnsi"/>
        </w:rPr>
        <w:t xml:space="preserve">Seção Judiciária da Justiça Federal em Niterói </w:t>
      </w:r>
      <w:r w:rsidRPr="008F3E20">
        <w:rPr>
          <w:rFonts w:asciiTheme="minorHAnsi" w:hAnsiTheme="minorHAnsi" w:cstheme="minorHAnsi"/>
        </w:rPr>
        <w:t xml:space="preserve">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8D4C39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8D4C39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8D4C39">
      <w:pPr>
        <w:keepNext/>
        <w:keepLines/>
        <w:suppressLineNumber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8D4C39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8D4C39">
      <w:pPr>
        <w:keepNext/>
        <w:keepLines/>
        <w:suppressLineNumbers/>
        <w:contextualSpacing/>
        <w:rPr>
          <w:rFonts w:asciiTheme="minorHAnsi" w:hAnsiTheme="minorHAnsi" w:cstheme="minorHAnsi"/>
        </w:rPr>
      </w:pPr>
    </w:p>
    <w:sectPr w:rsidR="00B66AB7" w:rsidRPr="008F3E20" w:rsidSect="004C6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35BB" w14:textId="77777777" w:rsidR="00AB40E1" w:rsidRDefault="00AB40E1">
      <w:r>
        <w:separator/>
      </w:r>
    </w:p>
  </w:endnote>
  <w:endnote w:type="continuationSeparator" w:id="0">
    <w:p w14:paraId="4298D408" w14:textId="77777777" w:rsidR="00AB40E1" w:rsidRDefault="00AB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17E3A172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FF6" w14:textId="77777777" w:rsidR="004C6D91" w:rsidRDefault="004C6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60A4" w14:textId="77777777" w:rsidR="00AB40E1" w:rsidRDefault="00AB40E1">
      <w:r>
        <w:separator/>
      </w:r>
    </w:p>
  </w:footnote>
  <w:footnote w:type="continuationSeparator" w:id="0">
    <w:p w14:paraId="05343E48" w14:textId="77777777" w:rsidR="00AB40E1" w:rsidRDefault="00AB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96B8" w14:textId="77777777" w:rsidR="004C6D91" w:rsidRDefault="004C6D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B0601E5" w:rsidR="00F5279C" w:rsidRPr="00347E5F" w:rsidRDefault="00AB40E1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275725115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50FFE1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442142" o:spid="_x0000_s2049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>Fls.__________</w:t>
    </w:r>
  </w:p>
  <w:p w14:paraId="44ED0A15" w14:textId="55C71BEB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8D4C39" w:rsidRPr="008D4C39">
      <w:rPr>
        <w:rFonts w:ascii="Verdana" w:hAnsi="Verdana"/>
        <w:sz w:val="16"/>
        <w:szCs w:val="16"/>
      </w:rPr>
      <w:t>23069.158433/2020-16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0404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0F7D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56FBC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1F4D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C6D9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1EB2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4C39"/>
    <w:rsid w:val="008D5C25"/>
    <w:rsid w:val="008D69EE"/>
    <w:rsid w:val="008D7460"/>
    <w:rsid w:val="008E28D3"/>
    <w:rsid w:val="008E3998"/>
    <w:rsid w:val="008E39D7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B40E1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66AE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390C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56C1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1914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4</cp:revision>
  <cp:lastPrinted>2021-08-10T01:50:00Z</cp:lastPrinted>
  <dcterms:created xsi:type="dcterms:W3CDTF">2021-08-10T01:50:00Z</dcterms:created>
  <dcterms:modified xsi:type="dcterms:W3CDTF">2021-08-10T02:02:00Z</dcterms:modified>
</cp:coreProperties>
</file>