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52D7" w14:textId="77777777" w:rsidR="00952CCA" w:rsidRDefault="00012618">
      <w:pPr>
        <w:pStyle w:val="Ttulo11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</w:rPr>
        <w:drawing>
          <wp:anchor distT="0" distB="0" distL="0" distR="0" simplePos="0" relativeHeight="14" behindDoc="0" locked="0" layoutInCell="0" allowOverlap="1" wp14:anchorId="50DCF922" wp14:editId="484E71FB">
            <wp:simplePos x="0" y="0"/>
            <wp:positionH relativeFrom="column">
              <wp:posOffset>2709545</wp:posOffset>
            </wp:positionH>
            <wp:positionV relativeFrom="paragraph">
              <wp:posOffset>-653415</wp:posOffset>
            </wp:positionV>
            <wp:extent cx="640080" cy="6191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8F904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MINISTÉRIO DA EDUCAÇÃO</w:t>
      </w:r>
    </w:p>
    <w:p w14:paraId="1005F269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UNIVERSIDADE FEDERAL FLUMINENSE</w:t>
      </w:r>
    </w:p>
    <w:p w14:paraId="4F316575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SUPERINTENDÊNCIA DE TECNOLOGIA DA INFORMAÇÃO</w:t>
      </w:r>
    </w:p>
    <w:p w14:paraId="350E2600" w14:textId="77777777" w:rsidR="00952CCA" w:rsidRDefault="00952CCA">
      <w:pPr>
        <w:pStyle w:val="Normal1"/>
        <w:jc w:val="center"/>
        <w:rPr>
          <w:rFonts w:ascii="Calibri" w:hAnsi="Calibri"/>
          <w:sz w:val="22"/>
          <w:szCs w:val="22"/>
        </w:rPr>
      </w:pPr>
    </w:p>
    <w:p w14:paraId="7AD4A86F" w14:textId="77777777" w:rsidR="00952CCA" w:rsidRDefault="00952CCA">
      <w:pPr>
        <w:pStyle w:val="Normal1"/>
        <w:jc w:val="center"/>
        <w:rPr>
          <w:rFonts w:ascii="Calibri" w:hAnsi="Calibri"/>
          <w:sz w:val="22"/>
          <w:szCs w:val="22"/>
        </w:rPr>
      </w:pPr>
    </w:p>
    <w:p w14:paraId="4B4EB3BE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TERMO DE REFERÊNCIA</w:t>
      </w:r>
    </w:p>
    <w:p w14:paraId="25525EF6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PREGÃO ELETRÔNICO SISTEMA DE REGISTRO DE PREÇOS</w:t>
      </w:r>
    </w:p>
    <w:p w14:paraId="6411BC29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(COMPRAS)</w:t>
      </w:r>
    </w:p>
    <w:p w14:paraId="176C64F6" w14:textId="77777777" w:rsidR="00952CCA" w:rsidRDefault="00952CCA">
      <w:pPr>
        <w:pStyle w:val="Normal1"/>
        <w:jc w:val="center"/>
        <w:rPr>
          <w:rFonts w:ascii="Calibri" w:hAnsi="Calibri"/>
          <w:sz w:val="22"/>
          <w:szCs w:val="22"/>
        </w:rPr>
      </w:pPr>
    </w:p>
    <w:p w14:paraId="3469F2B5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bookmarkStart w:id="0" w:name="__DdeLink__1859_1914510069"/>
      <w:r>
        <w:rPr>
          <w:rFonts w:ascii="Calibri" w:hAnsi="Calibri"/>
          <w:sz w:val="22"/>
          <w:szCs w:val="22"/>
        </w:rPr>
        <w:t>PRÓ-REITORIA DE ADMINISTRAÇÃO</w:t>
      </w:r>
      <w:bookmarkEnd w:id="0"/>
      <w:r>
        <w:rPr>
          <w:rFonts w:ascii="Calibri" w:hAnsi="Calibri"/>
          <w:sz w:val="22"/>
          <w:szCs w:val="22"/>
        </w:rPr>
        <w:t xml:space="preserve"> (UASG 150182) </w:t>
      </w:r>
    </w:p>
    <w:p w14:paraId="5F90CC37" w14:textId="4CB69564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PREGÃO Nº </w:t>
      </w:r>
      <w:r w:rsidR="00EA3622" w:rsidRPr="00EA3622">
        <w:rPr>
          <w:rFonts w:ascii="Calibri" w:hAnsi="Calibri" w:cs="Arial"/>
          <w:b/>
          <w:bCs/>
          <w:sz w:val="22"/>
          <w:szCs w:val="22"/>
        </w:rPr>
        <w:t>64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/2021</w:t>
      </w:r>
    </w:p>
    <w:p w14:paraId="50F7383D" w14:textId="77777777" w:rsidR="00952CCA" w:rsidRDefault="00012618"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(Processo Administrativo</w:t>
      </w:r>
      <w:r>
        <w:rPr>
          <w:rFonts w:ascii="Calibri" w:hAnsi="Calibri" w:cs="Arial"/>
          <w:color w:val="C9211E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n.° </w:t>
      </w:r>
      <w:r>
        <w:rPr>
          <w:rFonts w:ascii="Calibri" w:hAnsi="Calibri"/>
          <w:color w:val="000000"/>
        </w:rPr>
        <w:t xml:space="preserve">23069.161257/2021-81 </w:t>
      </w:r>
    </w:p>
    <w:p w14:paraId="37356955" w14:textId="77777777" w:rsidR="00952CCA" w:rsidRDefault="00952CCA">
      <w:pPr>
        <w:pStyle w:val="Normal1"/>
        <w:jc w:val="center"/>
        <w:rPr>
          <w:rFonts w:ascii="Calibri" w:hAnsi="Calibri"/>
          <w:sz w:val="22"/>
          <w:szCs w:val="22"/>
        </w:rPr>
      </w:pPr>
    </w:p>
    <w:p w14:paraId="1716AE4F" w14:textId="77777777" w:rsidR="00952CCA" w:rsidRDefault="00952CCA">
      <w:pPr>
        <w:pStyle w:val="Normal1"/>
        <w:jc w:val="center"/>
        <w:rPr>
          <w:rFonts w:ascii="Calibri" w:hAnsi="Calibri"/>
          <w:sz w:val="22"/>
          <w:szCs w:val="22"/>
        </w:rPr>
      </w:pPr>
    </w:p>
    <w:p w14:paraId="5C29CAAA" w14:textId="77777777" w:rsidR="00952CCA" w:rsidRDefault="00952CCA">
      <w:pPr>
        <w:pStyle w:val="Normal1"/>
        <w:jc w:val="center"/>
      </w:pPr>
    </w:p>
    <w:p w14:paraId="4A50BDEA" w14:textId="77777777" w:rsidR="00952CCA" w:rsidRDefault="00012618">
      <w:pPr>
        <w:pStyle w:val="Nivel1"/>
        <w:numPr>
          <w:ilvl w:val="0"/>
          <w:numId w:val="1"/>
        </w:numPr>
        <w:suppressAutoHyphens w:val="0"/>
        <w:spacing w:after="120"/>
      </w:pPr>
      <w:r>
        <w:rPr>
          <w:rFonts w:asciiTheme="minorHAnsi" w:hAnsiTheme="minorHAnsi" w:cstheme="minorHAnsi"/>
          <w:sz w:val="22"/>
          <w:szCs w:val="22"/>
        </w:rPr>
        <w:t>DO OBJETO</w:t>
      </w:r>
    </w:p>
    <w:p w14:paraId="169291E7" w14:textId="77777777" w:rsidR="00952CCA" w:rsidRDefault="00012618">
      <w:pPr>
        <w:pStyle w:val="Normal1"/>
        <w:jc w:val="both"/>
      </w:pPr>
      <w:r>
        <w:rPr>
          <w:rFonts w:ascii="Calibri" w:hAnsi="Calibri"/>
          <w:sz w:val="22"/>
          <w:szCs w:val="22"/>
        </w:rPr>
        <w:t xml:space="preserve">Constitui-se objeto desta licitação na modalidade de pregão eletrônico, a </w:t>
      </w:r>
      <w:bookmarkStart w:id="1" w:name="__DdeLink__811_39304658"/>
      <w:r>
        <w:rPr>
          <w:rFonts w:ascii="Calibri" w:hAnsi="Calibri"/>
          <w:sz w:val="22"/>
          <w:szCs w:val="22"/>
        </w:rPr>
        <w:t>contratação de pessoa jurídi</w:t>
      </w:r>
      <w:bookmarkEnd w:id="1"/>
      <w:r>
        <w:rPr>
          <w:rFonts w:ascii="Calibri" w:hAnsi="Calibri"/>
          <w:sz w:val="22"/>
          <w:szCs w:val="22"/>
        </w:rPr>
        <w:t xml:space="preserve">ca, para o fornecimento de forma futura ou entrega parcelada de materiais de TI para rede </w:t>
      </w:r>
      <w:r>
        <w:rPr>
          <w:rFonts w:ascii="Calibri" w:hAnsi="Calibri"/>
          <w:sz w:val="22"/>
          <w:szCs w:val="22"/>
        </w:rPr>
        <w:t xml:space="preserve">wifi, necessários a ampliação da infraestrutura da rede wifi da Universidade Federal Fluminense (UFF), conforme especificações, constantes do </w:t>
      </w:r>
      <w:r>
        <w:rPr>
          <w:rFonts w:ascii="Calibri" w:hAnsi="Calibri"/>
          <w:b/>
          <w:bCs/>
          <w:sz w:val="22"/>
          <w:szCs w:val="22"/>
        </w:rPr>
        <w:t>Anexo I-A</w:t>
      </w:r>
      <w:r>
        <w:rPr>
          <w:rFonts w:ascii="Calibri" w:hAnsi="Calibri"/>
          <w:sz w:val="22"/>
          <w:szCs w:val="22"/>
        </w:rPr>
        <w:t xml:space="preserve">  deste termo de referência.</w:t>
      </w:r>
    </w:p>
    <w:p w14:paraId="0FF400DF" w14:textId="77777777" w:rsidR="00952CCA" w:rsidRDefault="00012618">
      <w:pPr>
        <w:pStyle w:val="Normal1"/>
        <w:numPr>
          <w:ilvl w:val="1"/>
          <w:numId w:val="1"/>
        </w:numPr>
        <w:spacing w:before="102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Planilha com descrição dos endereços para entrega do objeto encontra-se no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Anexo I-B</w:t>
      </w:r>
      <w:r>
        <w:rPr>
          <w:rFonts w:ascii="Calibri" w:hAnsi="Calibri"/>
          <w:sz w:val="22"/>
          <w:szCs w:val="22"/>
        </w:rPr>
        <w:t>, deste Termo de   Referência.</w:t>
      </w:r>
    </w:p>
    <w:p w14:paraId="1ED21619" w14:textId="77777777" w:rsidR="00952CCA" w:rsidRDefault="00012618">
      <w:pPr>
        <w:pStyle w:val="Normal1"/>
        <w:numPr>
          <w:ilvl w:val="1"/>
          <w:numId w:val="1"/>
        </w:numPr>
        <w:spacing w:before="102" w:after="102"/>
        <w:ind w:left="425" w:hanging="4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Margem de Preferência:</w:t>
      </w:r>
    </w:p>
    <w:p w14:paraId="7CA68190" w14:textId="77777777" w:rsidR="00952CCA" w:rsidRDefault="00012618">
      <w:pPr>
        <w:pStyle w:val="Normal1"/>
        <w:numPr>
          <w:ilvl w:val="2"/>
          <w:numId w:val="1"/>
        </w:numPr>
        <w:ind w:hanging="5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atendimento ao Decreto nº 8.538/2015 e Lei Complementar nº 123/2006, esta Administração procederá com Margens de Preferência (até 25% de cada item acima de R$80.000,00) ou </w:t>
      </w:r>
      <w:r>
        <w:rPr>
          <w:rFonts w:ascii="Calibri" w:hAnsi="Calibri"/>
          <w:sz w:val="22"/>
          <w:szCs w:val="22"/>
        </w:rPr>
        <w:t>Exclusividade em 100% de itens comuns para empresas enquadradas como Microempresas, ou Empresas de Pequeno Porte (item abaixo de R$80.000,00);</w:t>
      </w:r>
    </w:p>
    <w:p w14:paraId="1AC57244" w14:textId="77777777" w:rsidR="00952CCA" w:rsidRDefault="00012618">
      <w:pPr>
        <w:pStyle w:val="Normal1"/>
        <w:numPr>
          <w:ilvl w:val="2"/>
          <w:numId w:val="1"/>
        </w:numPr>
        <w:spacing w:before="1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hipótese de não haver vencedor para a cota reservada, esta poderá ser adjudicada ao vencedor da cota </w:t>
      </w:r>
      <w:r>
        <w:rPr>
          <w:rFonts w:ascii="Calibri" w:hAnsi="Calibri"/>
          <w:sz w:val="22"/>
          <w:szCs w:val="22"/>
        </w:rPr>
        <w:t>principal ou, diante de sua recusa, aos licitantes remanescentes, desde que pratiquem o preço do primeiro colocado da cota principal;</w:t>
      </w:r>
    </w:p>
    <w:p w14:paraId="23BD6569" w14:textId="77777777" w:rsidR="00952CCA" w:rsidRDefault="00012618">
      <w:pPr>
        <w:pStyle w:val="Normal1"/>
        <w:numPr>
          <w:ilvl w:val="2"/>
          <w:numId w:val="1"/>
        </w:numPr>
        <w:spacing w:before="1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a mesma empresa vencer a cota reservada e a cota principal, a contratação das cotas deverá ocorrer pelo menor preço;</w:t>
      </w:r>
    </w:p>
    <w:p w14:paraId="33E8244B" w14:textId="77777777" w:rsidR="00952CCA" w:rsidRDefault="00012618">
      <w:pPr>
        <w:pStyle w:val="Normal1"/>
        <w:numPr>
          <w:ilvl w:val="2"/>
          <w:numId w:val="1"/>
        </w:numPr>
        <w:spacing w:before="10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</w:t>
      </w:r>
      <w:r>
        <w:rPr>
          <w:rFonts w:ascii="Calibri" w:hAnsi="Calibri"/>
          <w:sz w:val="22"/>
          <w:szCs w:val="22"/>
        </w:rPr>
        <w:t>rá dada a prioridade de aquisição aos produtos das cotas reservadas quando forem adjudicados aos licitantes qualificados como microempresas ou empresas de pequeno porte, ressalvados os casos em que a cota reservada for inadequada para atender as quantidade</w:t>
      </w:r>
      <w:r>
        <w:rPr>
          <w:rFonts w:ascii="Calibri" w:hAnsi="Calibri"/>
          <w:sz w:val="22"/>
          <w:szCs w:val="22"/>
        </w:rPr>
        <w:t>s ou as condições do pedido, conforme vier a ser decidido pela Administração, nos termos do art. 8º, §4º do Decreto n. 8.538,  de 2015.</w:t>
      </w:r>
    </w:p>
    <w:p w14:paraId="6BC51F18" w14:textId="77777777" w:rsidR="00952CCA" w:rsidRDefault="00012618">
      <w:pPr>
        <w:pStyle w:val="Normal1"/>
        <w:numPr>
          <w:ilvl w:val="1"/>
          <w:numId w:val="1"/>
        </w:numPr>
        <w:spacing w:before="119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Com o Decreto 10.024 de 20 de setembro de 2019, foi permitido estabelecer o critério de disputa dos licitantes na fase d</w:t>
      </w:r>
      <w:r>
        <w:rPr>
          <w:rFonts w:ascii="Calibri" w:hAnsi="Calibri"/>
          <w:iCs/>
          <w:sz w:val="22"/>
          <w:szCs w:val="22"/>
        </w:rPr>
        <w:t xml:space="preserve">e lances (Modo Aberto, ou Aberto-Fechado).  Sugere-se então que sejam respeitados os descritivos por itens no </w:t>
      </w:r>
      <w:r>
        <w:rPr>
          <w:rFonts w:ascii="Calibri" w:hAnsi="Calibri"/>
          <w:b/>
          <w:bCs/>
          <w:iCs/>
          <w:sz w:val="22"/>
          <w:szCs w:val="22"/>
        </w:rPr>
        <w:t xml:space="preserve">Anexo I-A </w:t>
      </w:r>
      <w:r>
        <w:rPr>
          <w:rFonts w:ascii="Calibri" w:hAnsi="Calibri"/>
          <w:iCs/>
          <w:sz w:val="22"/>
          <w:szCs w:val="22"/>
        </w:rPr>
        <w:t>do referido Termo de Referência, pois esses critérios foram estabelecidos no Estudo Preliminar da Contratação;</w:t>
      </w:r>
    </w:p>
    <w:p w14:paraId="0446D15C" w14:textId="77777777" w:rsidR="00952CCA" w:rsidRDefault="00012618">
      <w:pPr>
        <w:pStyle w:val="Normal1"/>
        <w:numPr>
          <w:ilvl w:val="1"/>
          <w:numId w:val="1"/>
        </w:numPr>
        <w:spacing w:before="119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O prazo de vigência da co</w:t>
      </w:r>
      <w:r>
        <w:rPr>
          <w:rFonts w:ascii="Calibri" w:hAnsi="Calibri"/>
          <w:bCs/>
          <w:iCs/>
          <w:sz w:val="22"/>
          <w:szCs w:val="22"/>
        </w:rPr>
        <w:t>ntratação é de 12 meses contados do(a) assinatura da Ata de Registro de Preços.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2BDA70CB" w14:textId="77777777" w:rsidR="00952CCA" w:rsidRDefault="00012618">
      <w:pPr>
        <w:pStyle w:val="Nivel1"/>
        <w:numPr>
          <w:ilvl w:val="0"/>
          <w:numId w:val="1"/>
        </w:numPr>
        <w:suppressAutoHyphens w:val="0"/>
        <w:spacing w:after="120" w:line="240" w:lineRule="auto"/>
      </w:pPr>
      <w:r>
        <w:rPr>
          <w:rFonts w:asciiTheme="minorHAnsi" w:hAnsiTheme="minorHAnsi" w:cstheme="minorHAnsi"/>
          <w:sz w:val="22"/>
          <w:szCs w:val="22"/>
        </w:rPr>
        <w:lastRenderedPageBreak/>
        <w:t>JUSTIFICATIVA E OBJETIVO DA CONTRATAÇÃO.</w:t>
      </w:r>
    </w:p>
    <w:p w14:paraId="7625E253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A rede wifi institucional da UFF usa tecnologia própria, desenvolvida através de projeto de pesquisa financiado pela RNP, foi planejad</w:t>
      </w:r>
      <w:r>
        <w:rPr>
          <w:rFonts w:ascii="Calibri" w:hAnsi="Calibri"/>
          <w:iCs/>
          <w:sz w:val="22"/>
          <w:szCs w:val="22"/>
        </w:rPr>
        <w:t>a para suportar até 4 mil equipamentos (comumente chamados de roteadores ou pontos de acesso). No entanto, desde o início de sua implantação em 2013 até hoje apenas cerca de 800 pontos de acesso foram instalados. Atualmente ela opera com enorme sobrecarga,</w:t>
      </w:r>
      <w:r>
        <w:rPr>
          <w:rFonts w:ascii="Calibri" w:hAnsi="Calibri"/>
          <w:iCs/>
          <w:sz w:val="22"/>
          <w:szCs w:val="22"/>
        </w:rPr>
        <w:t xml:space="preserve"> dificultando seu uso, o que justifica a aquisição de novos equipamentos para melhorar a  capacidade de atendimento;</w:t>
      </w:r>
    </w:p>
    <w:p w14:paraId="26688E67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Entendemos que a situação é crítica, pois novas demandas estão sendo colocadas sobre a infraestrutura de telecomunicações (redes) da UFF de</w:t>
      </w:r>
      <w:r>
        <w:rPr>
          <w:rFonts w:ascii="Calibri" w:hAnsi="Calibri"/>
          <w:iCs/>
          <w:sz w:val="22"/>
          <w:szCs w:val="22"/>
        </w:rPr>
        <w:t>vido às necessidades de afastamento social resultantes da pandemia, e a rede atual não conseguirá atender às novas demandas.  Da mesma forma, os atuais equipamentos operam somente na faixa de 2.4GHz e usam o padrão IEEE802.11n. Já exite no mercado equipame</w:t>
      </w:r>
      <w:r>
        <w:rPr>
          <w:rFonts w:ascii="Calibri" w:hAnsi="Calibri"/>
          <w:iCs/>
          <w:sz w:val="22"/>
          <w:szCs w:val="22"/>
        </w:rPr>
        <w:t>ntos que operam na faixa de 5GHz e usam o padrão IEEE802.11AC. Esta nova faixa de frequência e novo padrão aumentam em muito a capacidade da rede, permitindo um melhor alcance, mesmo se ainda não for possível a instalação de todos os equipamentos definidos</w:t>
      </w:r>
      <w:r>
        <w:rPr>
          <w:rFonts w:ascii="Calibri" w:hAnsi="Calibri"/>
          <w:iCs/>
          <w:sz w:val="22"/>
          <w:szCs w:val="22"/>
        </w:rPr>
        <w:t xml:space="preserve"> no projeto original;</w:t>
      </w:r>
    </w:p>
    <w:p w14:paraId="142BCFD3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É certo, que dificuldades na utilização da rede Wifi impacta no andamento das atividades acadêmicas de ensino na UFF, o que pode gerar problemas e atrasos no cumprimento do calendário escolar, principalmente em momentos críticos como </w:t>
      </w:r>
      <w:r>
        <w:rPr>
          <w:rFonts w:ascii="Calibri" w:hAnsi="Calibri"/>
          <w:iCs/>
          <w:sz w:val="22"/>
          <w:szCs w:val="22"/>
        </w:rPr>
        <w:t>este, quando as atividades acadêmicas do exercício de  2020 e planejamento para 2021, foram afetadas pela pandemia do COVID-19, e utilizam de forma mais  intensa os ativos tangíveis e intangíveis de TI;</w:t>
      </w:r>
    </w:p>
    <w:p w14:paraId="6FD09349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Com a atual situação decorrente do momento em que tod</w:t>
      </w:r>
      <w:r>
        <w:rPr>
          <w:rFonts w:ascii="Calibri" w:hAnsi="Calibri"/>
          <w:iCs/>
          <w:sz w:val="22"/>
          <w:szCs w:val="22"/>
        </w:rPr>
        <w:t xml:space="preserve">as as ações acadêmicas de ensino requerem  acesso móvel e a distância, as demandas dos usuários, docentes e técnicos da UFF, tornaram-se  prioritárias. Assim, fica clara a necessidade de se expandir a infraestrutura da rede Wifi das unidades de ensino  da </w:t>
      </w:r>
      <w:r>
        <w:rPr>
          <w:rFonts w:ascii="Calibri" w:hAnsi="Calibri"/>
          <w:iCs/>
          <w:sz w:val="22"/>
          <w:szCs w:val="22"/>
        </w:rPr>
        <w:t>UFF, dotando-as com os elementos básicos de TI para começar o ano letivo de 2021 garantindo assim eficiência, eficácia e agilidade nas atividades de ensino da UFF;</w:t>
      </w:r>
    </w:p>
    <w:p w14:paraId="2FAF5C38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Diante deste cenário, se faz necessário à aquisição de Materiais de Rede Wifi para expansão </w:t>
      </w:r>
      <w:r>
        <w:rPr>
          <w:rFonts w:ascii="Calibri" w:hAnsi="Calibri"/>
          <w:iCs/>
          <w:sz w:val="22"/>
          <w:szCs w:val="22"/>
        </w:rPr>
        <w:t>de sua infraestrutura, atendendo as demandas e possibilitando o seu uso pela comunidade UFF, estabelecendo assim, um  aumento da segurança sanitária;</w:t>
      </w:r>
    </w:p>
    <w:p w14:paraId="75719E31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426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A presente contratação está em consonância com o Objetivo Estratégico “Garantir a disponibilidade de siste</w:t>
      </w:r>
      <w:r>
        <w:rPr>
          <w:rFonts w:ascii="Calibri" w:hAnsi="Calibri" w:cstheme="minorHAnsi"/>
          <w:iCs/>
          <w:color w:val="000000"/>
          <w:sz w:val="22"/>
          <w:szCs w:val="22"/>
        </w:rPr>
        <w:t>mas essenciais de TI”, e o indicador “Índice de disponibilidade de equipamentos e programas essenciais de TI”, do Plano Estratégico da UFF;</w:t>
      </w:r>
    </w:p>
    <w:p w14:paraId="22CEB371" w14:textId="77777777" w:rsidR="00952CCA" w:rsidRDefault="00012618">
      <w:pPr>
        <w:pStyle w:val="Normal1"/>
        <w:numPr>
          <w:ilvl w:val="1"/>
          <w:numId w:val="1"/>
        </w:numPr>
        <w:tabs>
          <w:tab w:val="left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A escolha pelo Registro de Preços se deu-se considerando a necessidade de contratações frequentes, assim como, por s</w:t>
      </w:r>
      <w:r>
        <w:rPr>
          <w:rFonts w:ascii="Calibri" w:hAnsi="Calibri" w:cstheme="minorHAnsi"/>
          <w:iCs/>
          <w:color w:val="000000"/>
          <w:sz w:val="22"/>
          <w:szCs w:val="22"/>
        </w:rPr>
        <w:t xml:space="preserve">er mais conveniente para a Administração que as aquisições ocorram de forma parcelada, evitando a formação de estoque, </w:t>
      </w:r>
      <w:r>
        <w:rPr>
          <w:rFonts w:ascii="Calibri" w:hAnsi="Calibri" w:cstheme="minorHAnsi"/>
          <w:bCs/>
          <w:iCs/>
          <w:color w:val="000000"/>
          <w:sz w:val="22"/>
          <w:szCs w:val="22"/>
        </w:rPr>
        <w:t>dentro do contexto legal enquadrado nas hipóteses do art. 3º do Decreto nº 7.892/2013.</w:t>
      </w:r>
    </w:p>
    <w:p w14:paraId="6EC6B06B" w14:textId="77777777" w:rsidR="00952CCA" w:rsidRDefault="00012618">
      <w:pPr>
        <w:pStyle w:val="Nivel1"/>
        <w:numPr>
          <w:ilvl w:val="0"/>
          <w:numId w:val="1"/>
        </w:numPr>
        <w:rPr>
          <w:rFonts w:asciiTheme="minorHAnsi" w:eastAsia="Times New Roman" w:hAnsiTheme="minorHAnsi" w:cstheme="minorHAnsi"/>
          <w:iCs/>
          <w:sz w:val="22"/>
          <w:szCs w:val="22"/>
        </w:rPr>
      </w:pPr>
      <w:r>
        <w:rPr>
          <w:rFonts w:ascii="Calibri" w:hAnsi="Calibri"/>
          <w:caps/>
          <w:sz w:val="22"/>
          <w:szCs w:val="22"/>
        </w:rPr>
        <w:t>Resultados e Benefícios a serem alcançados.</w:t>
      </w:r>
    </w:p>
    <w:p w14:paraId="576AE5D1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Garant</w:t>
      </w:r>
      <w:r>
        <w:rPr>
          <w:rFonts w:ascii="Calibri" w:hAnsi="Calibri" w:cstheme="minorHAnsi"/>
          <w:iCs/>
          <w:color w:val="000000"/>
          <w:sz w:val="22"/>
          <w:szCs w:val="22"/>
        </w:rPr>
        <w:t xml:space="preserve">ia da capacidade atendimento da rede Wifi da UFF, contribuindo com uma melhor qualidade de ensino; </w:t>
      </w:r>
    </w:p>
    <w:p w14:paraId="3AFF60F6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 xml:space="preserve">Maior eficiência no atendimento das demandas atuais das unidades de ensino, facilitando o acesso à rede wifi  e permitindo uma melhor adaptação do </w:t>
      </w:r>
      <w:r>
        <w:rPr>
          <w:rFonts w:ascii="Calibri" w:hAnsi="Calibri" w:cstheme="minorHAnsi"/>
          <w:iCs/>
          <w:color w:val="000000"/>
          <w:sz w:val="22"/>
          <w:szCs w:val="22"/>
        </w:rPr>
        <w:t>ambiente as alterações emergenciais necessárias;</w:t>
      </w:r>
    </w:p>
    <w:p w14:paraId="723795A1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 xml:space="preserve">Maior disponibilidade de recursos  para o crescimento da rede wifi da UFF, com  a diminuição de falhas e paralisações; </w:t>
      </w:r>
    </w:p>
    <w:p w14:paraId="597440A4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Promover maior agilidade em implantação e ampliação  de novos dispositivos;</w:t>
      </w:r>
    </w:p>
    <w:p w14:paraId="5BE0B6DB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Facilidade de instalação, portabilidade e escalabilidade;</w:t>
      </w:r>
    </w:p>
    <w:p w14:paraId="56D3E33F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="Calibri" w:hAnsi="Calibr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lastRenderedPageBreak/>
        <w:t>Im</w:t>
      </w:r>
      <w:r>
        <w:rPr>
          <w:rFonts w:ascii="Calibri" w:hAnsi="Calibri" w:cstheme="minorHAnsi"/>
          <w:iCs/>
          <w:color w:val="000000"/>
          <w:sz w:val="22"/>
          <w:szCs w:val="22"/>
        </w:rPr>
        <w:t>plementação rápida e simples em comparação com a implementação de pontos fixos, o qual demanda um projeto de engenharia e execução de uma obra de infraestrutura de cabeamento estruturado;</w:t>
      </w:r>
    </w:p>
    <w:p w14:paraId="19C1D31D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="Calibri" w:hAnsi="Calibr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 xml:space="preserve">A rede atualmente cabeada (metálica) será mantida, permitindo a UFF </w:t>
      </w:r>
      <w:r>
        <w:rPr>
          <w:rFonts w:ascii="Calibri" w:hAnsi="Calibri" w:cstheme="minorHAnsi"/>
          <w:iCs/>
          <w:color w:val="000000"/>
          <w:sz w:val="22"/>
          <w:szCs w:val="22"/>
        </w:rPr>
        <w:t>dispor de uma rede “física” híbrida (metálica e wireless), facilitando a escolha da melhor solução para a instalação de novos dispositivos de rede;</w:t>
      </w:r>
    </w:p>
    <w:p w14:paraId="3BCCB03D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="Calibri" w:hAnsi="Calibr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Melhor utilização da infraestrutura atual, aumentando sua capacidade e permitindo melhor atendimento dos usu</w:t>
      </w:r>
      <w:r>
        <w:rPr>
          <w:rFonts w:ascii="Calibri" w:hAnsi="Calibri" w:cstheme="minorHAnsi"/>
          <w:iCs/>
          <w:color w:val="000000"/>
          <w:sz w:val="22"/>
          <w:szCs w:val="22"/>
        </w:rPr>
        <w:t>ários num momento onde redes wifi são essenciais para o ensino;</w:t>
      </w:r>
    </w:p>
    <w:p w14:paraId="3691F08C" w14:textId="77777777" w:rsidR="00952CCA" w:rsidRDefault="00012618">
      <w:pPr>
        <w:pStyle w:val="Normal1"/>
        <w:numPr>
          <w:ilvl w:val="0"/>
          <w:numId w:val="2"/>
        </w:numPr>
        <w:tabs>
          <w:tab w:val="left" w:pos="540"/>
        </w:tabs>
        <w:spacing w:before="120" w:after="120"/>
        <w:ind w:left="930" w:hanging="505"/>
        <w:jc w:val="both"/>
        <w:rPr>
          <w:rFonts w:ascii="Calibri" w:hAnsi="Calibri" w:cstheme="minorHAnsi"/>
          <w:iCs/>
          <w:color w:val="000000"/>
          <w:sz w:val="22"/>
          <w:szCs w:val="22"/>
        </w:rPr>
      </w:pPr>
      <w:r>
        <w:rPr>
          <w:rFonts w:ascii="Calibri" w:hAnsi="Calibri" w:cstheme="minorHAnsi"/>
          <w:iCs/>
          <w:color w:val="000000"/>
          <w:sz w:val="22"/>
          <w:szCs w:val="22"/>
        </w:rPr>
        <w:t>As redes wifi minimizam os custos associados à instalação de cabos e à realização de obras emergenciais, com vantagens claras para a manutenção da infraestrutura e gestão dos recursos, tornam-</w:t>
      </w:r>
      <w:r>
        <w:rPr>
          <w:rFonts w:ascii="Calibri" w:hAnsi="Calibri" w:cstheme="minorHAnsi"/>
          <w:iCs/>
          <w:color w:val="000000"/>
          <w:sz w:val="22"/>
          <w:szCs w:val="22"/>
        </w:rPr>
        <w:t>se muito mais simples sua administração.</w:t>
      </w:r>
    </w:p>
    <w:p w14:paraId="17C60347" w14:textId="77777777" w:rsidR="00952CCA" w:rsidRDefault="00012618">
      <w:pPr>
        <w:pStyle w:val="Nivel1"/>
        <w:numPr>
          <w:ilvl w:val="0"/>
          <w:numId w:val="1"/>
        </w:numPr>
        <w:suppressAutoHyphens w:val="0"/>
        <w:spacing w:after="120"/>
      </w:pPr>
      <w:r>
        <w:rPr>
          <w:rFonts w:asciiTheme="minorHAnsi" w:hAnsiTheme="minorHAnsi" w:cstheme="minorHAnsi"/>
          <w:sz w:val="22"/>
          <w:szCs w:val="22"/>
        </w:rPr>
        <w:t>CLASSIFICAÇÃO DOS BENS COMUNS</w:t>
      </w:r>
    </w:p>
    <w:p w14:paraId="22787B29" w14:textId="77777777" w:rsidR="00952CCA" w:rsidRDefault="00012618">
      <w:pPr>
        <w:pStyle w:val="Normal1"/>
        <w:numPr>
          <w:ilvl w:val="1"/>
          <w:numId w:val="1"/>
        </w:numPr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Os bens e serviços deste Termo de Referência são considerados comuns, pois os padrões de qualidade podem ser objetivamente definidos no Edital por meio de especificações usuais pratica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dos no mercado e as escolhas feitas poderão ter base nos preços ofertados, haja vista serem comparáveis entre si e não necessitarem de avaliação criteriosa.  No caso específico dos pontos de acesso sem fio, com exceção dos itens 14 e 15 </w:t>
      </w:r>
      <w:r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b/>
          <w:bCs/>
          <w:sz w:val="22"/>
          <w:szCs w:val="22"/>
        </w:rPr>
        <w:t>Anexo I-A</w:t>
      </w:r>
      <w:r>
        <w:rPr>
          <w:rFonts w:asciiTheme="minorHAnsi" w:eastAsia="Calibri" w:hAnsiTheme="minorHAnsi" w:cstheme="minorHAnsi"/>
          <w:iCs/>
          <w:sz w:val="22"/>
          <w:szCs w:val="22"/>
        </w:rPr>
        <w:t>, serão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necessários testes de conformidade para assegurar que os equipamentos são compatíveis com a infraestrutura já instalada. Estes testes podem ser a instalação do sistema aberto OpenWRT ou o fornecimento dos programas fontes, do firmware do ponto de acesso e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das instruções para a instalação do ambiente de desenvolvimento necessário para compilar o firmware, de acordo com a GPL. </w:t>
      </w:r>
    </w:p>
    <w:p w14:paraId="03198880" w14:textId="77777777" w:rsidR="00952CCA" w:rsidRDefault="00012618">
      <w:pPr>
        <w:pStyle w:val="Normal1"/>
        <w:numPr>
          <w:ilvl w:val="1"/>
          <w:numId w:val="1"/>
        </w:numPr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Os itens 14 e 15 </w:t>
      </w:r>
      <w:r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b/>
          <w:bCs/>
          <w:sz w:val="22"/>
          <w:szCs w:val="22"/>
        </w:rPr>
        <w:t>Anexo I-A,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foram especificados para atendimento em especial as unidades do interior e com necessidades específic</w:t>
      </w:r>
      <w:r>
        <w:rPr>
          <w:rFonts w:asciiTheme="minorHAnsi" w:eastAsia="Calibri" w:hAnsiTheme="minorHAnsi" w:cstheme="minorHAnsi"/>
          <w:iCs/>
          <w:sz w:val="22"/>
          <w:szCs w:val="22"/>
        </w:rPr>
        <w:t>as, na qual possuem sistemas de monitoramento e controladores específicos e compatíveis, porém compondo em sua forma de autenticação total conformidade e integração com toda a rede UFF.</w:t>
      </w:r>
    </w:p>
    <w:p w14:paraId="0596373F" w14:textId="77777777" w:rsidR="00952CCA" w:rsidRDefault="00012618">
      <w:pPr>
        <w:pStyle w:val="Normal1"/>
        <w:numPr>
          <w:ilvl w:val="1"/>
          <w:numId w:val="1"/>
        </w:numPr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A padronização dos itens 14 e 15</w:t>
      </w:r>
      <w:r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b/>
          <w:bCs/>
          <w:sz w:val="22"/>
          <w:szCs w:val="22"/>
        </w:rPr>
        <w:t>Anexo I-A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garantem que os equipam</w:t>
      </w:r>
      <w:r>
        <w:rPr>
          <w:rFonts w:asciiTheme="minorHAnsi" w:eastAsia="Calibri" w:hAnsiTheme="minorHAnsi" w:cstheme="minorHAnsi"/>
          <w:iCs/>
          <w:sz w:val="22"/>
          <w:szCs w:val="22"/>
        </w:rPr>
        <w:t>entos adquiridos para  unidades do interior e  uso específico pela UFF sejam totalmente compatíveis com os já existentes e com os sistemas de controle e gerenciamento no parque computacional e entre si, permitindo a proteção de investimento já realizado po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r este órgão. Desta forma, faz-se necessário a aquisição de equipamentos de rede, descritos nos itens 14 e 15 do </w:t>
      </w:r>
      <w:r>
        <w:rPr>
          <w:rFonts w:ascii="Calibri" w:hAnsi="Calibri"/>
          <w:b/>
          <w:bCs/>
          <w:sz w:val="22"/>
          <w:szCs w:val="22"/>
        </w:rPr>
        <w:t>Anexo I-A,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do mesmo fabricante dos pontos de acesso e sistema de controle e gerenciamento, ou seja, da marca Ubiquiti, pois a UFF já dispõe de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um software Controlador – </w:t>
      </w:r>
      <w:r>
        <w:rPr>
          <w:rFonts w:ascii="Calibri" w:hAnsi="Calibri"/>
          <w:sz w:val="22"/>
          <w:szCs w:val="22"/>
        </w:rPr>
        <w:t>Unifi Controler</w:t>
      </w:r>
    </w:p>
    <w:p w14:paraId="6ED22DD3" w14:textId="77777777" w:rsidR="00952CCA" w:rsidRDefault="00012618">
      <w:pPr>
        <w:pStyle w:val="Normal1"/>
        <w:numPr>
          <w:ilvl w:val="1"/>
          <w:numId w:val="1"/>
        </w:numPr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Como tratado no item anterior, a padronização também segue no que tange garantia das condições/Pré-requisitos do fabricante em questão, sendo necessário observar quanto as garantias e suas condições, com o intuito </w:t>
      </w:r>
      <w:r>
        <w:rPr>
          <w:rFonts w:asciiTheme="minorHAnsi" w:eastAsia="Calibri" w:hAnsiTheme="minorHAnsi" w:cstheme="minorHAnsi"/>
          <w:iCs/>
          <w:sz w:val="22"/>
          <w:szCs w:val="22"/>
        </w:rPr>
        <w:t>e objetivo de zelar pelos interesses públicos envolvidos e seus custos ao longo do prazo de vida útil dos equipamentos em questão.</w:t>
      </w:r>
    </w:p>
    <w:p w14:paraId="1034E27E" w14:textId="77777777" w:rsidR="00952CCA" w:rsidRDefault="00012618">
      <w:pPr>
        <w:pStyle w:val="Normal1"/>
        <w:numPr>
          <w:ilvl w:val="1"/>
          <w:numId w:val="1"/>
        </w:numPr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Conforme disposto no item I do artigo 15 da lei 8.666, de 21 de junho de 1993 (I - Atender ao princípio de padronização, que </w:t>
      </w:r>
      <w:r>
        <w:rPr>
          <w:rFonts w:asciiTheme="minorHAnsi" w:eastAsia="Calibri" w:hAnsiTheme="minorHAnsi" w:cstheme="minorHAnsi"/>
          <w:iCs/>
          <w:sz w:val="22"/>
          <w:szCs w:val="22"/>
        </w:rPr>
        <w:t>imponha compatibilidade técnica e de desempenho, observadas, quando for o caso, as condições de manutenção, assistência técnica e garantia oferecidas), este item, por questões de compatibilidade, gerência, suporte e garantia, deve ser do mesmo fabricante d</w:t>
      </w:r>
      <w:r>
        <w:rPr>
          <w:rFonts w:asciiTheme="minorHAnsi" w:eastAsia="Calibri" w:hAnsiTheme="minorHAnsi" w:cstheme="minorHAnsi"/>
          <w:iCs/>
          <w:sz w:val="22"/>
          <w:szCs w:val="22"/>
        </w:rPr>
        <w:t>os equipamentos deste grupo de itens;</w:t>
      </w:r>
    </w:p>
    <w:p w14:paraId="57E1C73A" w14:textId="77777777" w:rsidR="00952CCA" w:rsidRDefault="00952CCA">
      <w:pPr>
        <w:pStyle w:val="Normal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BA4D28B" w14:textId="77777777" w:rsidR="00952CCA" w:rsidRDefault="00012618">
      <w:pPr>
        <w:pStyle w:val="Nivel1"/>
        <w:widowControl w:val="0"/>
        <w:numPr>
          <w:ilvl w:val="0"/>
          <w:numId w:val="1"/>
        </w:numPr>
        <w:suppressAutoHyphens w:val="0"/>
        <w:spacing w:before="170" w:after="119" w:line="240" w:lineRule="auto"/>
        <w:rPr>
          <w:rFonts w:asciiTheme="minorHAnsi" w:eastAsia="Calibri" w:hAnsiTheme="minorHAnsi" w:cstheme="minorHAnsi"/>
          <w:iCs/>
          <w:color w:val="auto"/>
          <w:sz w:val="22"/>
          <w:szCs w:val="22"/>
        </w:rPr>
      </w:pPr>
      <w:r>
        <w:rPr>
          <w:rFonts w:ascii="Calibri" w:eastAsia="Calibri" w:hAnsi="Calibri" w:cstheme="minorHAnsi"/>
          <w:iCs/>
          <w:color w:val="auto"/>
          <w:sz w:val="22"/>
          <w:szCs w:val="22"/>
        </w:rPr>
        <w:t xml:space="preserve">ESPECIFICAÇÃO DOS </w:t>
      </w:r>
      <w:r>
        <w:rPr>
          <w:rFonts w:ascii="Calibri" w:eastAsia="Calibri" w:hAnsi="Calibri" w:cstheme="minorHAnsi"/>
          <w:iCs/>
          <w:caps/>
          <w:color w:val="auto"/>
          <w:sz w:val="22"/>
          <w:szCs w:val="22"/>
        </w:rPr>
        <w:t>MATERIAIS E EQUIPAMENTOS NECESSÁRIOS</w:t>
      </w:r>
    </w:p>
    <w:p w14:paraId="4D2DC323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t xml:space="preserve"> Descrição Técnica dos Objetos.</w:t>
      </w:r>
    </w:p>
    <w:p w14:paraId="6FA3E8BC" w14:textId="77777777" w:rsidR="00952CCA" w:rsidRDefault="00012618">
      <w:pPr>
        <w:pStyle w:val="Normal1"/>
        <w:spacing w:before="100" w:after="100"/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iCs/>
          <w:sz w:val="22"/>
          <w:szCs w:val="22"/>
        </w:rPr>
        <w:tab/>
      </w:r>
      <w:r>
        <w:rPr>
          <w:rFonts w:ascii="Calibri" w:eastAsia="Calibri" w:hAnsi="Calibri" w:cstheme="minorHAnsi"/>
          <w:iCs/>
          <w:sz w:val="22"/>
          <w:szCs w:val="22"/>
        </w:rPr>
        <w:t xml:space="preserve">As especificações técnicas dos Materiais TI para instalação da rede wifi estão discriminadas no   </w:t>
      </w:r>
      <w:r>
        <w:rPr>
          <w:rFonts w:ascii="Calibri" w:eastAsia="Calibri" w:hAnsi="Calibri" w:cstheme="minorHAnsi"/>
          <w:b/>
          <w:bCs/>
          <w:iCs/>
          <w:sz w:val="22"/>
          <w:szCs w:val="22"/>
        </w:rPr>
        <w:t>Anexo I-A</w:t>
      </w:r>
      <w:r>
        <w:rPr>
          <w:rFonts w:ascii="Calibri" w:eastAsia="Calibri" w:hAnsi="Calibri" w:cstheme="minorHAnsi"/>
          <w:iCs/>
          <w:sz w:val="22"/>
          <w:szCs w:val="22"/>
        </w:rPr>
        <w:t xml:space="preserve"> do presente Termo de Referência</w:t>
      </w:r>
      <w:r>
        <w:rPr>
          <w:rFonts w:ascii="Calibri" w:eastAsia="Calibri" w:hAnsi="Calibri" w:cstheme="minorHAnsi"/>
          <w:b/>
          <w:bCs/>
          <w:iCs/>
          <w:sz w:val="22"/>
          <w:szCs w:val="22"/>
        </w:rPr>
        <w:t>.</w:t>
      </w:r>
      <w:r>
        <w:rPr>
          <w:rFonts w:ascii="Calibri" w:eastAsia="Calibri" w:hAnsi="Calibri" w:cstheme="minorHAnsi"/>
          <w:iCs/>
          <w:sz w:val="22"/>
          <w:szCs w:val="22"/>
        </w:rPr>
        <w:tab/>
      </w:r>
    </w:p>
    <w:p w14:paraId="7E245806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lastRenderedPageBreak/>
        <w:t>Preço Médio de Mercado.</w:t>
      </w:r>
    </w:p>
    <w:p w14:paraId="5351D564" w14:textId="77777777" w:rsidR="00952CCA" w:rsidRDefault="00012618">
      <w:pPr>
        <w:pStyle w:val="Normal1"/>
        <w:ind w:left="431" w:hanging="431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tab/>
      </w:r>
      <w:r>
        <w:rPr>
          <w:rFonts w:ascii="Calibri" w:eastAsia="Calibri" w:hAnsi="Calibri" w:cstheme="minorHAnsi"/>
          <w:iCs/>
          <w:sz w:val="22"/>
          <w:szCs w:val="22"/>
        </w:rPr>
        <w:t xml:space="preserve">Os quantitativos e preços médios de referência são os discriminados no </w:t>
      </w:r>
      <w:r>
        <w:rPr>
          <w:rFonts w:ascii="Calibri" w:eastAsia="Calibri" w:hAnsi="Calibri" w:cstheme="minorHAnsi"/>
          <w:b/>
          <w:bCs/>
          <w:iCs/>
          <w:sz w:val="22"/>
          <w:szCs w:val="22"/>
        </w:rPr>
        <w:t>Anexo I-A</w:t>
      </w:r>
      <w:r>
        <w:rPr>
          <w:rFonts w:ascii="Calibri" w:eastAsia="Calibri" w:hAnsi="Calibri" w:cstheme="minorHAnsi"/>
          <w:iCs/>
          <w:sz w:val="22"/>
          <w:szCs w:val="22"/>
        </w:rPr>
        <w:t xml:space="preserve"> do presente Termo de Referência.</w:t>
      </w:r>
    </w:p>
    <w:p w14:paraId="057436DF" w14:textId="77777777" w:rsidR="00952CCA" w:rsidRDefault="00012618">
      <w:pPr>
        <w:pStyle w:val="Normal1"/>
        <w:ind w:left="431" w:hanging="431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tab/>
      </w:r>
      <w:r>
        <w:rPr>
          <w:rFonts w:ascii="Calibri" w:eastAsia="Calibri" w:hAnsi="Calibri" w:cstheme="minorHAnsi"/>
          <w:iCs/>
          <w:sz w:val="22"/>
          <w:szCs w:val="22"/>
        </w:rPr>
        <w:t>Para a obtenção do preço médio de referência, foram feitas pesquisas no mês de julho de 2021, e cujos resultados constam das planilhas de cot</w:t>
      </w:r>
      <w:r>
        <w:rPr>
          <w:rFonts w:ascii="Calibri" w:eastAsia="Calibri" w:hAnsi="Calibri" w:cstheme="minorHAnsi"/>
          <w:iCs/>
          <w:sz w:val="22"/>
          <w:szCs w:val="22"/>
        </w:rPr>
        <w:t xml:space="preserve">ação, parte integrante do presente processo licitatório. </w:t>
      </w:r>
    </w:p>
    <w:p w14:paraId="5669BECF" w14:textId="77777777" w:rsidR="00952CCA" w:rsidRDefault="00012618">
      <w:pPr>
        <w:pStyle w:val="Normal1"/>
        <w:ind w:left="431" w:hanging="431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iCs/>
          <w:sz w:val="22"/>
          <w:szCs w:val="22"/>
        </w:rPr>
        <w:tab/>
      </w:r>
    </w:p>
    <w:p w14:paraId="31C9F513" w14:textId="77777777" w:rsidR="00952CCA" w:rsidRDefault="00012618">
      <w:pPr>
        <w:pStyle w:val="Normal1"/>
        <w:numPr>
          <w:ilvl w:val="1"/>
          <w:numId w:val="1"/>
        </w:numPr>
        <w:spacing w:before="119"/>
        <w:ind w:left="425" w:hanging="431"/>
        <w:rPr>
          <w:rFonts w:ascii="Caladea" w:hAnsi="Caladea"/>
          <w:b/>
          <w:bCs/>
          <w:sz w:val="22"/>
          <w:szCs w:val="22"/>
        </w:rPr>
      </w:pPr>
      <w:r>
        <w:rPr>
          <w:rFonts w:ascii="Caladea" w:hAnsi="Caladea"/>
          <w:b/>
          <w:bCs/>
          <w:sz w:val="22"/>
          <w:szCs w:val="22"/>
        </w:rPr>
        <w:t>Acessórios.</w:t>
      </w:r>
    </w:p>
    <w:p w14:paraId="2BCBA6A1" w14:textId="77777777" w:rsidR="00952CCA" w:rsidRDefault="00012618">
      <w:pPr>
        <w:pStyle w:val="Normal1"/>
        <w:ind w:left="425" w:hanging="431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tab/>
      </w:r>
      <w:r>
        <w:rPr>
          <w:rFonts w:ascii="Calibri" w:eastAsia="Calibri" w:hAnsi="Calibri" w:cstheme="minorHAnsi"/>
          <w:iCs/>
          <w:sz w:val="22"/>
          <w:szCs w:val="22"/>
        </w:rPr>
        <w:t xml:space="preserve">Devem ser fornecidos junto com os Materiais de TI para instalação da rede wifi, quando necessários, conforme o plano de expansão da rede. </w:t>
      </w:r>
    </w:p>
    <w:p w14:paraId="3EC44854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="Calibri" w:eastAsia="Calibri" w:hAnsi="Calibri" w:cstheme="minorHAnsi"/>
          <w:b/>
          <w:bCs/>
          <w:iCs/>
          <w:sz w:val="22"/>
          <w:szCs w:val="22"/>
        </w:rPr>
        <w:t>Documentação Técnica.</w:t>
      </w:r>
    </w:p>
    <w:p w14:paraId="0B179031" w14:textId="77777777" w:rsidR="00952CCA" w:rsidRDefault="00012618">
      <w:pPr>
        <w:pStyle w:val="Normal1"/>
        <w:ind w:left="425" w:hanging="431"/>
      </w:pPr>
      <w:r>
        <w:rPr>
          <w:b/>
          <w:bCs/>
        </w:rPr>
        <w:tab/>
      </w:r>
      <w:r>
        <w:rPr>
          <w:rFonts w:ascii="Calibri" w:eastAsia="Calibri" w:hAnsi="Calibri" w:cstheme="minorHAnsi"/>
          <w:iCs/>
          <w:sz w:val="22"/>
          <w:szCs w:val="22"/>
        </w:rPr>
        <w:t>Deve ser fornecida, q</w:t>
      </w:r>
      <w:r>
        <w:rPr>
          <w:rFonts w:ascii="Calibri" w:eastAsia="Calibri" w:hAnsi="Calibri" w:cstheme="minorHAnsi"/>
          <w:iCs/>
          <w:sz w:val="22"/>
          <w:szCs w:val="22"/>
        </w:rPr>
        <w:t>uando necessária, a documentação técnica do produto contendo informações com as instruções para uso, configuração e manutenção, em Português.</w:t>
      </w:r>
    </w:p>
    <w:p w14:paraId="22035AD4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Garantia.</w:t>
      </w:r>
    </w:p>
    <w:p w14:paraId="75C0453D" w14:textId="77777777" w:rsidR="00952CCA" w:rsidRDefault="00012618">
      <w:pPr>
        <w:pStyle w:val="Normal1"/>
        <w:numPr>
          <w:ilvl w:val="0"/>
          <w:numId w:val="4"/>
        </w:numPr>
        <w:spacing w:after="62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Devem possuir garantia padrão por um período mínimo de 12 (doze) meses para reposição de </w:t>
      </w:r>
      <w:r>
        <w:rPr>
          <w:rFonts w:asciiTheme="minorHAnsi" w:hAnsiTheme="minorHAnsi" w:cstheme="minorHAnsi"/>
          <w:iCs/>
          <w:sz w:val="22"/>
          <w:szCs w:val="22"/>
        </w:rPr>
        <w:tab/>
        <w:t>itens   danificados, e mão de obra da assistência técnica;</w:t>
      </w:r>
    </w:p>
    <w:p w14:paraId="6C2D2746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Os serviços de suporte e manutenção devem ser do fabricante do produto ofertado;</w:t>
      </w:r>
    </w:p>
    <w:p w14:paraId="1B489AD9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Os serviços de reparo dos </w:t>
      </w:r>
      <w:r>
        <w:rPr>
          <w:rFonts w:asciiTheme="minorHAnsi" w:hAnsiTheme="minorHAnsi" w:cstheme="minorHAnsi"/>
          <w:iCs/>
          <w:sz w:val="22"/>
          <w:szCs w:val="22"/>
        </w:rPr>
        <w:t xml:space="preserve">Materiais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de TI para </w:t>
      </w:r>
      <w:r>
        <w:rPr>
          <w:rFonts w:asciiTheme="minorHAnsi" w:eastAsia="Calibri" w:hAnsiTheme="minorHAnsi" w:cstheme="minorHAnsi"/>
          <w:iCs/>
          <w:sz w:val="22"/>
          <w:szCs w:val="22"/>
        </w:rPr>
        <w:t>instalação de wifi</w:t>
      </w:r>
      <w:r>
        <w:rPr>
          <w:rFonts w:asciiTheme="minorHAnsi" w:hAnsiTheme="minorHAnsi" w:cstheme="minorHAnsi"/>
          <w:iCs/>
          <w:sz w:val="22"/>
          <w:szCs w:val="22"/>
        </w:rPr>
        <w:t xml:space="preserve"> especificados no Anexo I-A, serão executados de preferência no Estado do Rio de Janeiro; </w:t>
      </w:r>
    </w:p>
    <w:p w14:paraId="4B693865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A CONTRATADA também deve oferecer canais de comunicação e ferramentas adicionais de suporte na Internet com disponibilidade de</w:t>
      </w:r>
      <w:r>
        <w:rPr>
          <w:rFonts w:asciiTheme="minorHAnsi" w:hAnsiTheme="minorHAnsi" w:cstheme="minorHAnsi"/>
          <w:iCs/>
          <w:sz w:val="22"/>
          <w:szCs w:val="22"/>
        </w:rPr>
        <w:t xml:space="preserve"> atualizações e “hotfixes” de firmware,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quando pertinente;</w:t>
      </w:r>
    </w:p>
    <w:p w14:paraId="1EA5520F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theme="minorHAnsi"/>
          <w:iCs/>
          <w:sz w:val="22"/>
          <w:szCs w:val="22"/>
        </w:rPr>
        <w:t>Durante o prazo de garantia, os Materiais de TI para instalação de wifi, quando defeituosos, serão substituídos sem ônus para o CONTRATANTE, após a conclusão de que há a necessidade de substituição</w:t>
      </w:r>
      <w:r>
        <w:rPr>
          <w:rFonts w:ascii="Calibri" w:hAnsi="Calibri" w:cstheme="minorHAnsi"/>
          <w:iCs/>
          <w:sz w:val="22"/>
          <w:szCs w:val="22"/>
        </w:rPr>
        <w:t>, salvo se quando o defeito for provocado por uso inadequado;</w:t>
      </w:r>
    </w:p>
    <w:p w14:paraId="4749DB59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Esta modalidade de cobertura de garantia deverá, obrigatoriamente, entrar em vigor a partir da data de assinatura da Ata de Registro de preços; </w:t>
      </w:r>
    </w:p>
    <w:p w14:paraId="7770AD43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Possuir recurso disponibilizado via web, site do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próprio fabricante (informar URL para comprovação), que permita verificar a garantia do produto através da inserção do seu número de série, quando pertinente;</w:t>
      </w:r>
    </w:p>
    <w:p w14:paraId="38B3CB91" w14:textId="77777777" w:rsidR="00952CCA" w:rsidRDefault="00012618">
      <w:pPr>
        <w:pStyle w:val="Normal1"/>
        <w:numPr>
          <w:ilvl w:val="0"/>
          <w:numId w:val="4"/>
        </w:numPr>
        <w:spacing w:after="119"/>
        <w:ind w:left="697" w:hanging="357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A substituição de Materiais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de TI para </w:t>
      </w:r>
      <w:r>
        <w:rPr>
          <w:rFonts w:asciiTheme="minorHAnsi" w:eastAsia="Calibri" w:hAnsiTheme="minorHAnsi" w:cstheme="minorHAnsi"/>
          <w:iCs/>
          <w:sz w:val="22"/>
          <w:szCs w:val="22"/>
        </w:rPr>
        <w:t>instalação de wifi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decorrentes da garantia não gera quaisq</w:t>
      </w:r>
      <w:r>
        <w:rPr>
          <w:rFonts w:asciiTheme="minorHAnsi" w:hAnsiTheme="minorHAnsi" w:cstheme="minorHAnsi"/>
          <w:iCs/>
          <w:sz w:val="22"/>
          <w:szCs w:val="22"/>
        </w:rPr>
        <w:t>uer ônus para a contratante. Todo e qualquer componente consertado ou substituído, fica automaticamente garantido até o final do prazo de garantia do objeto.</w:t>
      </w:r>
    </w:p>
    <w:p w14:paraId="649546A0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Outros.</w:t>
      </w:r>
    </w:p>
    <w:p w14:paraId="4DC356DE" w14:textId="77777777" w:rsidR="00952CCA" w:rsidRDefault="00012618">
      <w:pPr>
        <w:pStyle w:val="Corpodetexto"/>
        <w:numPr>
          <w:ilvl w:val="0"/>
          <w:numId w:val="3"/>
        </w:numPr>
        <w:jc w:val="both"/>
      </w:pPr>
      <w:r>
        <w:rPr>
          <w:rFonts w:ascii="Calibri" w:hAnsi="Calibri"/>
          <w:sz w:val="22"/>
          <w:szCs w:val="22"/>
        </w:rPr>
        <w:t xml:space="preserve">Apresentação de no mínimo um atestado emitido por pessoa jurídica de direito </w:t>
      </w:r>
      <w:r>
        <w:rPr>
          <w:rFonts w:ascii="Calibri" w:hAnsi="Calibri"/>
          <w:sz w:val="22"/>
          <w:szCs w:val="22"/>
        </w:rPr>
        <w:t>público ou privado, comprovando que a proponente fornece/forneceu bens compatíveis com os objetos da licitação emitidos em papel timbrado, com assinatura, identificação e telefone do emitente;</w:t>
      </w:r>
    </w:p>
    <w:p w14:paraId="59E86E52" w14:textId="77777777" w:rsidR="00952CCA" w:rsidRDefault="00012618">
      <w:pPr>
        <w:pStyle w:val="Corpodetexto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alterações que possam vir a ser feita no Software do equipam</w:t>
      </w:r>
      <w:r>
        <w:rPr>
          <w:rFonts w:ascii="Calibri" w:hAnsi="Calibri"/>
          <w:sz w:val="22"/>
          <w:szCs w:val="22"/>
        </w:rPr>
        <w:t xml:space="preserve">ento não implicará em perda da garantia do mesmo. </w:t>
      </w:r>
    </w:p>
    <w:p w14:paraId="44DD1A4D" w14:textId="77777777" w:rsidR="00952CCA" w:rsidRDefault="00952CCA">
      <w:pPr>
        <w:pStyle w:val="Corpodetexto"/>
        <w:jc w:val="both"/>
        <w:rPr>
          <w:rFonts w:ascii="Calibri" w:hAnsi="Calibri"/>
          <w:sz w:val="22"/>
          <w:szCs w:val="22"/>
        </w:rPr>
      </w:pPr>
    </w:p>
    <w:p w14:paraId="7146E5FE" w14:textId="77777777" w:rsidR="00952CCA" w:rsidRDefault="00012618">
      <w:pPr>
        <w:pStyle w:val="Nivel1"/>
        <w:widowControl w:val="0"/>
        <w:numPr>
          <w:ilvl w:val="0"/>
          <w:numId w:val="1"/>
        </w:numPr>
        <w:suppressLineNumbers/>
        <w:suppressAutoHyphens w:val="0"/>
        <w:spacing w:before="170"/>
      </w:pPr>
      <w:r>
        <w:rPr>
          <w:bCs/>
        </w:rPr>
        <w:t>ENTREGA E CRITÉRIOS DE ACEITAÇÃO</w:t>
      </w:r>
      <w:bookmarkStart w:id="2" w:name="__DdeLink__605_1324063130"/>
      <w:bookmarkEnd w:id="2"/>
    </w:p>
    <w:p w14:paraId="47F2424D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Arial Narrow" w:hAnsiTheme="minorHAnsi" w:cstheme="minorHAnsi"/>
          <w:iCs/>
          <w:color w:val="000000"/>
          <w:kern w:val="2"/>
          <w:sz w:val="22"/>
          <w:szCs w:val="22"/>
          <w:lang w:eastAsia="en-US" w:bidi="hi-IN"/>
        </w:rPr>
        <w:t xml:space="preserve">O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prazo de entrega dos bens é de 30 (trinta) dias, contados do envio da nota de empenho</w:t>
      </w:r>
      <w:bookmarkStart w:id="3" w:name="__DdeLink__6901_2965752709"/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;</w:t>
      </w:r>
      <w:bookmarkEnd w:id="3"/>
    </w:p>
    <w:p w14:paraId="33E655B8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informações sobre a entrega estarão indicadas no campo </w:t>
      </w:r>
      <w:r>
        <w:rPr>
          <w:rFonts w:ascii="Calibri" w:hAnsi="Calibri"/>
          <w:sz w:val="22"/>
          <w:szCs w:val="22"/>
        </w:rPr>
        <w:t>observação/finalidade da nota de empenho, salvo se informada no ato da entrega do Empenho;</w:t>
      </w:r>
    </w:p>
    <w:p w14:paraId="26735434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lastRenderedPageBreak/>
        <w:t xml:space="preserve"> As notas de Empenhos, encaminhadas se dará através de comunicação por e-mail, indicado no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eastAsia="en-US"/>
        </w:rPr>
        <w:t>Anexo I-C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 (indicação de Preposto) e deverá ser confirmada em até 24 horas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úteis, sob pena de aplicação de sanções cabíveis;</w:t>
      </w:r>
    </w:p>
    <w:p w14:paraId="317218FF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Caso o volume de produtos a serem entregues seja de grande porte ou quantidade, é necessário o agendamento prévio da entrega;</w:t>
      </w:r>
    </w:p>
    <w:p w14:paraId="0135BAC5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 Os bens serão recebidos 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provisoriamente no prazo de 15 (quinze) dias, pelo (a)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responsável no local de entrega, para efeito de posterior verificação de sua conformidade com as especificações constantes neste Termo de Referência e na proposta. No caso específico dos pontos de acesso,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com exceção dos itens 14 e 15, 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uma vez feito o tes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te de conformidade, se for mantido o modelo e versão nenhum teste posterior será necessário. No entanto, se for mudado o modelo ou versão novo teste de conformidade deve ser agendado antes da entrega;</w:t>
      </w:r>
    </w:p>
    <w:p w14:paraId="054AB9AA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Os bens poderão ser rejeitados, no todo ou em parte, q</w:t>
      </w:r>
      <w:r>
        <w:rPr>
          <w:rFonts w:ascii="Calibri" w:hAnsi="Calibri"/>
          <w:sz w:val="22"/>
          <w:szCs w:val="22"/>
        </w:rPr>
        <w:t>uando em desacordo com as especificações constantes neste Termo de Referência e na proposta, devendo ser substituídos no prazo de 10 (dez) dias, a contar da notificação da contratada, às suas custas, sem prejuízo da aplicação das penalidades;</w:t>
      </w:r>
    </w:p>
    <w:p w14:paraId="1EC154AD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Os bens serã</w:t>
      </w:r>
      <w:r>
        <w:rPr>
          <w:rFonts w:ascii="Calibri" w:hAnsi="Calibri"/>
          <w:sz w:val="22"/>
          <w:szCs w:val="22"/>
        </w:rPr>
        <w:t>o recebidos definitivamente no prazo de até 30 (trinta) dias, contados do recebimento provisório, após a verificação da qualidade e quantidade do material e consequente aceitação mediante termo circunstanciado;</w:t>
      </w:r>
    </w:p>
    <w:p w14:paraId="79DA2C5F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hipótese de a verificação a que se refere </w:t>
      </w:r>
      <w:r>
        <w:rPr>
          <w:rFonts w:ascii="Calibri" w:hAnsi="Calibri"/>
          <w:sz w:val="22"/>
          <w:szCs w:val="22"/>
        </w:rPr>
        <w:t>o subitem anterior não ser procedida dentro do prazo fixado, reputar-se-á como realizada, consumando-se o recebimento definitivo no dia do esgotamento do prazo;</w:t>
      </w:r>
    </w:p>
    <w:p w14:paraId="41E529EA" w14:textId="77777777" w:rsidR="00952CCA" w:rsidRDefault="00012618">
      <w:pPr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Cs/>
          <w:iCs/>
          <w:sz w:val="22"/>
          <w:szCs w:val="22"/>
        </w:rPr>
        <w:t>O recebimento provisório ou definitivo do objeto não exclui a responsabilidade da contratada pe</w:t>
      </w:r>
      <w:r>
        <w:rPr>
          <w:rFonts w:ascii="Calibri" w:hAnsi="Calibri" w:cs="Times New Roman"/>
          <w:bCs/>
          <w:iCs/>
          <w:sz w:val="22"/>
          <w:szCs w:val="22"/>
        </w:rPr>
        <w:t>los prejuízos resultantes da incorreta execução do contrato.</w:t>
      </w:r>
    </w:p>
    <w:p w14:paraId="0F85DFBC" w14:textId="77777777" w:rsidR="00952CCA" w:rsidRDefault="00012618">
      <w:pPr>
        <w:pStyle w:val="Nivel1"/>
        <w:widowControl w:val="0"/>
        <w:numPr>
          <w:ilvl w:val="0"/>
          <w:numId w:val="1"/>
        </w:numPr>
      </w:pPr>
      <w:r>
        <w:t>GARANTIA ON-SITE</w:t>
      </w:r>
    </w:p>
    <w:p w14:paraId="1DE4EE17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Durante o prazo de garantia do objeto, a contratada prestará serviços de assistência técnica On-Site, para eventuais pedidos de troca de produtos danificados, com vista a manter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os materiais de TI para wifi em condições de uso, sem ônus adicionais para a UFF;</w:t>
      </w:r>
    </w:p>
    <w:p w14:paraId="728EA412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Os Materiais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para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instalação de wifi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que apresentarem vícios no período de vigência da garantia devem ser substituídas por outros novos, de primeiro uso e apresentar padrões de qualidade e desempenho iguais ou superiores ao item danificado;</w:t>
      </w:r>
    </w:p>
    <w:p w14:paraId="65393DD3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Deverá ser disponibilizado à UFF, o serviço de ate</w:t>
      </w:r>
      <w:r>
        <w:rPr>
          <w:rFonts w:ascii="Calibri" w:hAnsi="Calibri"/>
          <w:sz w:val="22"/>
          <w:szCs w:val="22"/>
        </w:rPr>
        <w:t>ndimento a clientes, visando abrir chamados, funcionando em horário comercial, através de telefone 0800 (discagem direta gratuita), podendo a empresa disponibilizar abertura de chamados pela internet;</w:t>
      </w:r>
    </w:p>
    <w:p w14:paraId="6005A815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Os serviços deverão ocorrer de acordo com instruções a</w:t>
      </w:r>
      <w:r>
        <w:rPr>
          <w:rFonts w:ascii="Calibri" w:hAnsi="Calibri"/>
          <w:sz w:val="22"/>
          <w:szCs w:val="22"/>
        </w:rPr>
        <w:t xml:space="preserve"> serem dadas pela Superintendência de Tecnologia da Informação (STI) ou por servidor da UFF designado para esse fim;</w:t>
      </w:r>
    </w:p>
    <w:p w14:paraId="540E2510" w14:textId="77777777" w:rsidR="00952CCA" w:rsidRDefault="00952CCA">
      <w:pPr>
        <w:ind w:left="814"/>
        <w:jc w:val="both"/>
        <w:rPr>
          <w:rFonts w:ascii="Calibri" w:hAnsi="Calibri"/>
          <w:sz w:val="22"/>
          <w:szCs w:val="22"/>
        </w:rPr>
      </w:pPr>
    </w:p>
    <w:p w14:paraId="3DB0C52F" w14:textId="77777777" w:rsidR="00952CCA" w:rsidRDefault="00012618">
      <w:pPr>
        <w:pStyle w:val="Nivel1"/>
        <w:widowControl w:val="0"/>
        <w:numPr>
          <w:ilvl w:val="0"/>
          <w:numId w:val="1"/>
        </w:numPr>
        <w:suppressLineNumbers/>
        <w:suppressAutoHyphens w:val="0"/>
        <w:spacing w:before="170" w:line="240" w:lineRule="auto"/>
      </w:pPr>
      <w:r>
        <w:rPr>
          <w:rFonts w:asciiTheme="minorHAnsi" w:eastAsia="SimSun" w:hAnsiTheme="minorHAnsi" w:cstheme="minorHAnsi"/>
          <w:bCs/>
          <w:kern w:val="2"/>
          <w:sz w:val="22"/>
          <w:szCs w:val="22"/>
          <w:lang w:bidi="hi-IN"/>
        </w:rPr>
        <w:t>CRITÉRIOS DE ACEITAÇÃO DO OBJETO</w:t>
      </w:r>
    </w:p>
    <w:p w14:paraId="418964E8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comprovação do atendimento às características técnicas especificadas no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Anexo  I-A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deste Termo de Referência se dará mediante avaliação da documentação técnica integrante da proposta apresentada, que consistirá de catálogos, manuais ou publicações oficia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is e originais dos respectivos fabricantes. No caso específico dos pontos de acesso, teste de conformidade, ou pela instalação do sistema aberto openWRT ou pela compilação do firmware a partir das fontes, sendo que neste caso as fontes tem que ser disponib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ilizados, bem como as instruções para a instalação do ambiente para compilação;</w:t>
      </w:r>
    </w:p>
    <w:p w14:paraId="4EF0E109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 Serão aceitos, para efeito de comprovação de características técnicas, endereços de sítios Intern</w:t>
      </w:r>
      <w:r>
        <w:rPr>
          <w:rFonts w:ascii="Calibri" w:hAnsi="Calibri"/>
          <w:sz w:val="22"/>
          <w:szCs w:val="22"/>
        </w:rPr>
        <w:t>et que contenham as informações solicitadas, os quais serão consultados no mom</w:t>
      </w:r>
      <w:r>
        <w:rPr>
          <w:rFonts w:ascii="Calibri" w:hAnsi="Calibri"/>
          <w:sz w:val="22"/>
          <w:szCs w:val="22"/>
        </w:rPr>
        <w:t>ento da validação das propostas, sendo de responsabilidade do licitante informar corretamente tais endereços;</w:t>
      </w:r>
    </w:p>
    <w:p w14:paraId="09F5FE6C" w14:textId="21150438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Para cada item, todos os Materiais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de TI para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instalação de wifi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 serem entregues, deverão ser idênticos, ou seja, todos do mesmo modelo e marca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conforme referenciados </w:t>
      </w:r>
      <w:r w:rsidR="00BF75D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na proposta e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nos folders ou catálogos</w:t>
      </w:r>
      <w:r w:rsidR="00BF75D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anexados em conjunto com a mesma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3D2E3B25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Os equipamentos deverão ser entregues de acordo com as especificações do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Anexo I-A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deste termo de referência, em perfeito estado de funcionamento, sem amassados, arranhões ou outr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os problemas lógicos ou físicos;</w:t>
      </w:r>
    </w:p>
    <w:p w14:paraId="319FBFFA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Os Materiais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de TI para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instalação de wifi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ofertados deverão ser padrão de fábrica e nas propostas deverão constar de forma clara, marca, Part Number e modelo completo do componente ofertado, quando pertinente.</w:t>
      </w:r>
    </w:p>
    <w:p w14:paraId="5894A2E0" w14:textId="77777777" w:rsidR="00952CCA" w:rsidRDefault="00012618">
      <w:pPr>
        <w:pStyle w:val="Nivel1"/>
        <w:widowControl w:val="0"/>
        <w:numPr>
          <w:ilvl w:val="0"/>
          <w:numId w:val="1"/>
        </w:numPr>
        <w:suppressAutoHyphens w:val="0"/>
        <w:spacing w:after="120" w:line="240" w:lineRule="auto"/>
        <w:ind w:left="363" w:hanging="363"/>
      </w:pPr>
      <w:r>
        <w:rPr>
          <w:rFonts w:asciiTheme="minorHAnsi" w:eastAsia="SimSun" w:hAnsiTheme="minorHAnsi" w:cstheme="minorHAnsi"/>
          <w:bCs/>
          <w:kern w:val="2"/>
          <w:sz w:val="22"/>
          <w:szCs w:val="22"/>
          <w:lang w:eastAsia="en-US" w:bidi="hi-IN"/>
        </w:rPr>
        <w:t>QUALIFICA</w:t>
      </w:r>
      <w:r>
        <w:rPr>
          <w:rFonts w:asciiTheme="minorHAnsi" w:hAnsiTheme="minorHAnsi" w:cstheme="minorHAnsi"/>
          <w:bCs/>
          <w:color w:val="00000A"/>
          <w:kern w:val="2"/>
          <w:sz w:val="22"/>
          <w:szCs w:val="22"/>
          <w:lang w:eastAsia="en-US"/>
        </w:rPr>
        <w:t>ÇÃ</w:t>
      </w:r>
      <w:r>
        <w:rPr>
          <w:rFonts w:asciiTheme="minorHAnsi" w:hAnsiTheme="minorHAnsi" w:cstheme="minorHAnsi"/>
          <w:bCs/>
          <w:color w:val="00000A"/>
          <w:kern w:val="2"/>
          <w:sz w:val="22"/>
          <w:szCs w:val="22"/>
          <w:lang w:eastAsia="en-US"/>
        </w:rPr>
        <w:t>O TÉCNICA DOS LICITANTES</w:t>
      </w:r>
    </w:p>
    <w:p w14:paraId="59394909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licitante vencedor em preço deverá apresentar, junto com a proposta comercial, Atestado de Capacidade Técnica, fornecido por pessoa jurídica de direito público ou privado comprovando que o licitante tenha comercializado no mínimo</w:t>
      </w:r>
      <w:r>
        <w:rPr>
          <w:rFonts w:ascii="Calibri" w:hAnsi="Calibri"/>
          <w:sz w:val="22"/>
          <w:szCs w:val="22"/>
        </w:rPr>
        <w:t xml:space="preserve"> 25% da quantidade total de produtos registrados conforme o objeto;</w:t>
      </w:r>
    </w:p>
    <w:p w14:paraId="05B3BA10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Não será considerado válido o atestado de capacidade técnica emitida por empresa pertencente ao mesmo grupo empresarial do licitante;</w:t>
      </w:r>
    </w:p>
    <w:p w14:paraId="5AF5987B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pregoeiro poderá proceder, antes da </w:t>
      </w:r>
      <w:r>
        <w:rPr>
          <w:rFonts w:ascii="Calibri" w:hAnsi="Calibri"/>
          <w:sz w:val="22"/>
          <w:szCs w:val="22"/>
        </w:rPr>
        <w:t>adjudicação, diligências para comprovação da execução dos serviços objeto dos atestados de capacidade técnica, inclusive exigir que o licitante apresente notas fiscais e/ou contratos dos serviços prestados;</w:t>
      </w:r>
    </w:p>
    <w:p w14:paraId="46806EAE" w14:textId="37E3DB9E" w:rsidR="00382BA2" w:rsidRDefault="00382BA2" w:rsidP="00382BA2">
      <w:pPr>
        <w:pStyle w:val="Normal1"/>
        <w:numPr>
          <w:ilvl w:val="1"/>
          <w:numId w:val="1"/>
        </w:numPr>
        <w:spacing w:before="113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Quando as atividades do fabricante se enquadrarem </w:t>
      </w:r>
      <w:r w:rsidR="0092346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as categorias CTF/APP, conforme consta na Ficha Técnica de Enquadramento (</w:t>
      </w:r>
      <w:r w:rsidRPr="005605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http://www.ibama.gov.br/cadastros/ctf/ctf-app/ftes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),</w:t>
      </w:r>
      <w:r>
        <w:t xml:space="preserve"> o</w:t>
      </w:r>
      <w:r w:rsidRPr="005605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licitante deverá informar o CNPJ do fabricante para averiguação da situação do registro junto ao Cadastro Técnico Federal de Atividades Potencialmente Poluidoras ou Utilizadoras de Recursos Ambientais, em </w:t>
      </w:r>
      <w:hyperlink r:id="rId9">
        <w:r w:rsidRPr="00560530">
          <w:rPr>
            <w:rFonts w:asciiTheme="minorHAnsi" w:hAnsiTheme="minorHAnsi" w:cstheme="minorHAnsi"/>
            <w:color w:val="000000"/>
            <w:sz w:val="22"/>
            <w:szCs w:val="22"/>
            <w:lang w:eastAsia="en-US"/>
          </w:rPr>
          <w:t>https://servicos.ibama.gov.br/ctf/publico/certificado_regularidade_consulta.php</w:t>
        </w:r>
      </w:hyperlink>
      <w:r w:rsidRPr="0056053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instituído pelo art. 17, inciso II da lei nº 6.938/81, </w:t>
      </w:r>
    </w:p>
    <w:p w14:paraId="3F59D96B" w14:textId="77777777" w:rsidR="00952CCA" w:rsidRDefault="00012618">
      <w:pPr>
        <w:pStyle w:val="Nivel1"/>
        <w:numPr>
          <w:ilvl w:val="0"/>
          <w:numId w:val="1"/>
        </w:num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OBRIGAÇÕES DA CONTRATANTE</w:t>
      </w:r>
    </w:p>
    <w:p w14:paraId="74F6C126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Receber o objeto no prazo e condições estabelecidas no Edital e seus anexos;</w:t>
      </w:r>
    </w:p>
    <w:p w14:paraId="395CC27F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Verificar minuciosamente, no prazo fixado, a conformidade dos bens recebidos proviso</w:t>
      </w:r>
      <w:r>
        <w:rPr>
          <w:rFonts w:ascii="Calibri" w:hAnsi="Calibri"/>
          <w:sz w:val="22"/>
          <w:szCs w:val="22"/>
        </w:rPr>
        <w:t>riamente com as especificações constantes do Edital e da proposta, para fins de aceitação e recebimento definitivo;</w:t>
      </w:r>
    </w:p>
    <w:p w14:paraId="369E46FF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</w:t>
      </w:r>
      <w:r>
        <w:rPr>
          <w:rFonts w:asciiTheme="minorHAnsi" w:hAnsiTheme="minorHAnsi" w:cstheme="minorHAnsi"/>
          <w:sz w:val="22"/>
          <w:szCs w:val="22"/>
        </w:rPr>
        <w:t>omunicar à Contratada, por escrito, sobre imperfeições, falhas ou irregularidades verificadas no objeto fornecido, para que seja substituíd</w:t>
      </w:r>
      <w:r>
        <w:rPr>
          <w:rFonts w:asciiTheme="minorHAnsi" w:hAnsiTheme="minorHAnsi" w:cstheme="minorHAnsi"/>
          <w:sz w:val="22"/>
          <w:szCs w:val="22"/>
        </w:rPr>
        <w:t>o, reparado ou corrigido;</w:t>
      </w:r>
    </w:p>
    <w:p w14:paraId="71167BB3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Acompanhar e fiscalizar o cumprimento das obrigações da Contratada, através de comissão/servidor especialmente designado;</w:t>
      </w:r>
    </w:p>
    <w:p w14:paraId="069484C8" w14:textId="77777777" w:rsidR="00952CCA" w:rsidRDefault="00012618">
      <w:pPr>
        <w:pStyle w:val="Normal1"/>
        <w:numPr>
          <w:ilvl w:val="1"/>
          <w:numId w:val="1"/>
        </w:numPr>
        <w:spacing w:before="113"/>
        <w:ind w:left="425" w:hanging="43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>
        <w:rPr>
          <w:rFonts w:asciiTheme="minorHAnsi" w:hAnsiTheme="minorHAnsi" w:cstheme="minorHAnsi"/>
          <w:sz w:val="22"/>
          <w:szCs w:val="22"/>
        </w:rPr>
        <w:t>fetuar o pagamento à Contratada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 valor correspondente ao fornecimento do objeto, no prazo e forma estabel</w:t>
      </w:r>
      <w:r>
        <w:rPr>
          <w:rFonts w:asciiTheme="minorHAnsi" w:hAnsiTheme="minorHAnsi" w:cstheme="minorHAnsi"/>
          <w:sz w:val="22"/>
          <w:szCs w:val="22"/>
        </w:rPr>
        <w:t>ecidos no Edital e seus anexos;</w:t>
      </w:r>
    </w:p>
    <w:p w14:paraId="0AB69EC9" w14:textId="77777777" w:rsidR="00952CCA" w:rsidRDefault="00012618">
      <w:pPr>
        <w:pStyle w:val="Nivel1"/>
        <w:widowControl w:val="0"/>
        <w:numPr>
          <w:ilvl w:val="0"/>
          <w:numId w:val="1"/>
        </w:numPr>
        <w:suppressAutoHyphens w:val="0"/>
        <w:spacing w:after="120"/>
        <w:ind w:left="544" w:hanging="431"/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 xml:space="preserve"> OBRIGAÇÕES DA CONTRATADA</w:t>
      </w:r>
    </w:p>
    <w:p w14:paraId="1AF64C5B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A Contratada deve cumprir todas as obrigações constantes no Edital, seus anexos e sua proposta, assumindo como exclusivamente seus os riscos e as despesas decorrentes da boa e perfeita </w:t>
      </w:r>
      <w:r>
        <w:rPr>
          <w:rFonts w:asciiTheme="minorHAnsi" w:hAnsiTheme="minorHAnsi" w:cstheme="minorHAnsi"/>
          <w:iCs/>
          <w:sz w:val="22"/>
          <w:szCs w:val="22"/>
        </w:rPr>
        <w:t>execução do objeto;</w:t>
      </w:r>
    </w:p>
    <w:p w14:paraId="75DBEF89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Efetuar a entrega do objeto em perfeitas condições, conforme especificações, prazo e local constantes no Termo de Referência e seus anexos, acompanhado da respectiva nota fiscal, na qual constarão as indicações referentes à: marca fabri</w:t>
      </w:r>
      <w:r>
        <w:rPr>
          <w:rFonts w:asciiTheme="minorHAnsi" w:hAnsiTheme="minorHAnsi" w:cstheme="minorHAnsi"/>
          <w:iCs/>
          <w:sz w:val="22"/>
          <w:szCs w:val="22"/>
        </w:rPr>
        <w:t>cante, modelo, procedência e prazo de garantia ou validade;</w:t>
      </w:r>
    </w:p>
    <w:p w14:paraId="1181489E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O objeto deve estar acompanhado do manual do usuário, com uma </w:t>
      </w:r>
      <w:r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versão</w:t>
      </w:r>
      <w:r>
        <w:rPr>
          <w:rFonts w:asciiTheme="minorHAnsi" w:hAnsiTheme="minorHAnsi" w:cstheme="minorHAnsi"/>
          <w:iCs/>
          <w:sz w:val="22"/>
          <w:szCs w:val="22"/>
        </w:rPr>
        <w:t xml:space="preserve"> em português e da relação da rede de assistência técnica autorizada (quando pertinente);</w:t>
      </w:r>
    </w:p>
    <w:p w14:paraId="27CB93F7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Responsabilizar-se pelos vícios e dano</w:t>
      </w:r>
      <w:r>
        <w:rPr>
          <w:rFonts w:asciiTheme="minorHAnsi" w:hAnsiTheme="minorHAnsi" w:cstheme="minorHAnsi"/>
          <w:iCs/>
          <w:sz w:val="22"/>
          <w:szCs w:val="22"/>
        </w:rPr>
        <w:t>s decorrentes do objeto, de acordo com os artigos 12, 13 e 17 a 27, do Código de Defesa do Consumidor (Lei nº 8.078, de 1990);</w:t>
      </w:r>
    </w:p>
    <w:p w14:paraId="47F837E8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Substituir, reparar ou corrigir, às suas expensas o objeto com avarias ou defeitos;</w:t>
      </w:r>
    </w:p>
    <w:p w14:paraId="18859C92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Comunicar à Contratante, no prazo máximo de 2</w:t>
      </w:r>
      <w:r>
        <w:rPr>
          <w:rFonts w:asciiTheme="minorHAnsi" w:hAnsiTheme="minorHAnsi" w:cstheme="minorHAnsi"/>
          <w:iCs/>
          <w:sz w:val="22"/>
          <w:szCs w:val="22"/>
        </w:rPr>
        <w:t>4 (vinte e quatro) horas que antecede a data da entrega, os motivos que impossibilitem o cumprimento do prazo previsto, com a devida comprovação;</w:t>
      </w:r>
    </w:p>
    <w:p w14:paraId="58D445FC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Manter, durante toda a execução do contrato, em compatibilidade com as obrigações assumidas, todas as condiçõe</w:t>
      </w:r>
      <w:r>
        <w:rPr>
          <w:rFonts w:asciiTheme="minorHAnsi" w:hAnsiTheme="minorHAnsi" w:cstheme="minorHAnsi"/>
          <w:iCs/>
          <w:sz w:val="22"/>
          <w:szCs w:val="22"/>
        </w:rPr>
        <w:t>s de habilitação e qualificação exigidas na licitação;</w:t>
      </w:r>
    </w:p>
    <w:p w14:paraId="628DB02F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 xml:space="preserve">Indicar preposto para representá-la durante a execução do contrato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(Anexo I-C);</w:t>
      </w:r>
    </w:p>
    <w:p w14:paraId="70ACDA88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preposto será responsável por garantir o bom acompanhamento do contrato, de acordo com as normas </w:t>
      </w:r>
      <w:r>
        <w:rPr>
          <w:rFonts w:asciiTheme="minorHAnsi" w:hAnsiTheme="minorHAnsi" w:cstheme="minorHAnsi"/>
          <w:sz w:val="22"/>
          <w:szCs w:val="22"/>
        </w:rPr>
        <w:t>preestabelecidas pela contratante, sem ônus algum para a UFF;</w:t>
      </w:r>
    </w:p>
    <w:p w14:paraId="32487CFB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 CONTRATADA deverá manter o preposto, durante o período de vigência do contrato, para representá-la administrativamente, sempre que for necessário, o qual deverá ser indicado mediante declaraçã</w:t>
      </w:r>
      <w:r>
        <w:rPr>
          <w:rFonts w:asciiTheme="minorHAnsi" w:hAnsiTheme="minorHAnsi" w:cstheme="minorHAnsi"/>
          <w:sz w:val="22"/>
          <w:szCs w:val="22"/>
        </w:rPr>
        <w:t>o em que deverá constar o nome completo, nº CPF e do documento de identidade;</w:t>
      </w:r>
    </w:p>
    <w:p w14:paraId="21EF807A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 empresa orientará o seu preposto quanto à necessidade de acatar as orientações da Administração, inclusive quanto ao cumprimento de confirmação do recebimento das Notas de Empe</w:t>
      </w:r>
      <w:r>
        <w:rPr>
          <w:rFonts w:asciiTheme="minorHAnsi" w:hAnsiTheme="minorHAnsi" w:cstheme="minorHAnsi"/>
          <w:sz w:val="22"/>
          <w:szCs w:val="22"/>
        </w:rPr>
        <w:t>nho por e-mail, no prazo máximo de 24 horas úteis.</w:t>
      </w:r>
    </w:p>
    <w:p w14:paraId="7C20933F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DA SUBCONTRATAÇÃO</w:t>
      </w:r>
    </w:p>
    <w:p w14:paraId="08BDCA4E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Não será admitida a subcontratação do objeto licitatório.</w:t>
      </w:r>
    </w:p>
    <w:p w14:paraId="7406D3E5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>DA ALTERAÇÃO SUBJETIVA</w:t>
      </w:r>
    </w:p>
    <w:p w14:paraId="44FBF5EC" w14:textId="77777777" w:rsidR="00952CCA" w:rsidRDefault="00012618">
      <w:pPr>
        <w:numPr>
          <w:ilvl w:val="1"/>
          <w:numId w:val="1"/>
        </w:numPr>
        <w:spacing w:before="100" w:after="100"/>
        <w:ind w:left="431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É admissível a fusão, cisão ou incorporação da contratada com/em outra pessoa jurídica, desde que sejam ob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servados pela nova pessoa jurídica todos os requisitos de habilitação exigidos na licitação original; sejam mantidas as demais cláusulas e condições do contrato; não haja prejuízo à execução do objeto pactuado e haja a anuência expressa da Administração à </w:t>
      </w:r>
      <w:r>
        <w:rPr>
          <w:rFonts w:asciiTheme="minorHAnsi" w:hAnsiTheme="minorHAnsi" w:cstheme="minorHAnsi"/>
          <w:sz w:val="22"/>
          <w:szCs w:val="22"/>
          <w:lang w:eastAsia="en-US"/>
        </w:rPr>
        <w:t>continuidade do contrato.</w:t>
      </w:r>
    </w:p>
    <w:p w14:paraId="111630C9" w14:textId="77777777" w:rsidR="00952CCA" w:rsidRDefault="00012618">
      <w:pPr>
        <w:numPr>
          <w:ilvl w:val="0"/>
          <w:numId w:val="1"/>
        </w:numPr>
        <w:suppressAutoHyphens w:val="0"/>
        <w:spacing w:before="480" w:after="120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CONTROLE E FISCALIZAÇÃO DA EXECUÇÃO</w:t>
      </w:r>
    </w:p>
    <w:p w14:paraId="1B5A3E87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Nos termos do art. 67 Lei nº 8.666, de 1993, será designado representante para acompanhar e fiscalizar a entrega dos bens, anotando em registro próprio todas as ocorrências </w:t>
      </w:r>
      <w:r>
        <w:rPr>
          <w:rFonts w:asciiTheme="minorHAnsi" w:hAnsiTheme="minorHAnsi" w:cstheme="minorHAnsi"/>
          <w:color w:val="000000"/>
          <w:sz w:val="22"/>
          <w:szCs w:val="22"/>
        </w:rPr>
        <w:t>relacionadas com a execução e determinando o que for necessário à regularização de falhas ou defeitos observados;</w:t>
      </w:r>
    </w:p>
    <w:p w14:paraId="701D7AA9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O recebimento de material de valor superior 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R$ 527.117,13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(quinhentos e vinte e sete mil, cento e dezessete reais e treze centavos)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  <w:t xml:space="preserve">será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  <w:t>c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onfiado a uma comissão de, no mínimo, 3 (três) membros, designados pela autoridade competente;</w:t>
      </w:r>
    </w:p>
    <w:p w14:paraId="35F79962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fiscalização de que trata este item não exclui nem reduz a responsabilidade da Contratada, inclusive perante terceiros, por qualquer irregularidade, ainda que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resultante de imperfeições técnicas ou vícios redibitórios, e, na ocorrência desta, não implica em corresponsabilidade da Administração ou de seus agentes e prepostos, de conformidade com o art. 70 da Lei nº 8.666, de 1993;</w:t>
      </w:r>
    </w:p>
    <w:p w14:paraId="76C42555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representante da Administração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dos e encaminhando os apontamentos à autoridade competente para as providências cabíveis.</w:t>
      </w:r>
    </w:p>
    <w:p w14:paraId="5DD91AD3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PAGAMENTO</w:t>
      </w:r>
    </w:p>
    <w:p w14:paraId="6CE6EEAF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O pagamento será realizado no prazo máximo de até </w:t>
      </w:r>
      <w:r>
        <w:rPr>
          <w:rFonts w:asciiTheme="minorHAnsi" w:hAnsiTheme="minorHAnsi" w:cstheme="minorHAnsi"/>
          <w:sz w:val="22"/>
          <w:szCs w:val="22"/>
          <w:lang w:eastAsia="en-US"/>
        </w:rPr>
        <w:t>trinta (30)</w:t>
      </w:r>
      <w:r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dias, contados a partir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 recebimento da Nota Fiscal ou Fatura,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através de ordem bancária,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para crédito em banco, agência e conta-corrente indicados pelo contratado.</w:t>
      </w:r>
    </w:p>
    <w:p w14:paraId="725FAE33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a) Os pagamentos decorrentes de despesas cujos valores não ultrapassem o limite </w:t>
      </w:r>
      <w:r>
        <w:rPr>
          <w:rFonts w:asciiTheme="minorHAnsi" w:hAnsiTheme="minorHAnsi" w:cstheme="minorHAnsi"/>
          <w:sz w:val="22"/>
          <w:szCs w:val="22"/>
        </w:rPr>
        <w:t xml:space="preserve">de que trata o </w:t>
      </w:r>
      <w:r>
        <w:rPr>
          <w:rFonts w:asciiTheme="minorHAnsi" w:hAnsiTheme="minorHAnsi" w:cstheme="minorHAnsi"/>
          <w:sz w:val="22"/>
          <w:szCs w:val="22"/>
        </w:rPr>
        <w:tab/>
        <w:t>inciso II do art. 24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da Lei 8.666, de 1993, deverão ser efetuados no prazo de até 5 (cinco) dias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úteis, contados da data da apresentação da Nota Fiscal, nos termos do art. 5º, § 3º, da Lei nº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8.666, de 1993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5BAAD9D4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A Nota Fiscal ou Fatura deverá ser obrigatoriamente acompanhada da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comprovação da regularidade fiscal, constatada por meio de consulta on-line ao SICAF ou, na impossibilidade de acesso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referido Sistema, mediante consulta aos sítios eletrônicos oficiais ou à documentação mencionada no art. 29 da Lei nº 8.666, de 1993. </w:t>
      </w:r>
    </w:p>
    <w:p w14:paraId="44738B3B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ind w:left="425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a) Constatando-se, junto ao SICAF, a situação de irregularidade do fornecedor contratado, deverão           ser tomadas as providências previstas no do art. 31 da Instrução Normativa nº 3, de 26 de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abril de 2018.</w:t>
      </w:r>
    </w:p>
    <w:p w14:paraId="1FB141E2" w14:textId="77777777" w:rsidR="00952CCA" w:rsidRDefault="00012618">
      <w:pPr>
        <w:numPr>
          <w:ilvl w:val="1"/>
          <w:numId w:val="1"/>
        </w:numPr>
        <w:spacing w:before="100" w:after="100"/>
        <w:ind w:left="425" w:hanging="431"/>
        <w:jc w:val="both"/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Havendo erro na apresentação da Nota Fis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cal ou dos documentos pertinentes à contratação, ou, ainda, circunstância que impeça a liquidação da despesa, como, por exemplo, </w:t>
      </w:r>
      <w:r>
        <w:rPr>
          <w:rFonts w:asciiTheme="minorHAnsi" w:hAnsiTheme="minorHAnsi" w:cstheme="minorHAnsi"/>
          <w:color w:val="000000"/>
          <w:sz w:val="22"/>
          <w:szCs w:val="22"/>
        </w:rPr>
        <w:t>obrigação financeira pendente, decorrente de penalidade imposta ou inadimplência,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 pagamento ficará sobrestado até que a Contr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atada providencie as medidas saneadoras. Nesta hipótese, o prazo para pagamento iniciar-se-á após a comprovação da regularização da situação, não acarretando qualquer ônus para a Contratante;</w:t>
      </w:r>
    </w:p>
    <w:p w14:paraId="6E3940B5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Será considerada data do pagamento o dia em que constar como emi</w:t>
      </w:r>
      <w:r>
        <w:rPr>
          <w:rFonts w:asciiTheme="minorHAnsi" w:hAnsiTheme="minorHAnsi" w:cstheme="minorHAnsi"/>
          <w:sz w:val="22"/>
          <w:szCs w:val="22"/>
          <w:lang w:eastAsia="en-US"/>
        </w:rPr>
        <w:t>tida a ordem bancária para pagamento;</w:t>
      </w:r>
    </w:p>
    <w:p w14:paraId="25745624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Antes de cada pagamento à contratada, será realizada consulta ao SICAF para verificar a manutenção das condições de habilitação exigidas no edital;</w:t>
      </w:r>
    </w:p>
    <w:p w14:paraId="7B197C9D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Constatando-se, junto ao SICAF, a situação de irregularidade da contra</w:t>
      </w:r>
      <w:r>
        <w:rPr>
          <w:rFonts w:asciiTheme="minorHAnsi" w:hAnsiTheme="minorHAnsi" w:cstheme="minorHAnsi"/>
          <w:sz w:val="22"/>
          <w:szCs w:val="22"/>
          <w:lang w:eastAsia="en-US"/>
        </w:rPr>
        <w:t>tada, será providenciada sua notificação, por escrito, para que, no prazo de 5 (cinco) dias úteis, regularize sua situação ou, no mesmo prazo, apresente sua defesa. O prazo poderá ser prorrogado uma vez, por igual período, a critério da contratante;</w:t>
      </w:r>
    </w:p>
    <w:p w14:paraId="1BCE9590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Previa</w:t>
      </w:r>
      <w:r>
        <w:rPr>
          <w:rFonts w:asciiTheme="minorHAnsi" w:hAnsiTheme="minorHAnsi" w:cstheme="minorHAnsi"/>
          <w:sz w:val="22"/>
          <w:szCs w:val="22"/>
          <w:lang w:eastAsia="en-US"/>
        </w:rPr>
        <w:t>mente à emissão de nota de empenho e a cada pagamento, a Administração deverá realizar consulta ao SICAF para identificar possível suspensão temporária de participação em licitação, no âmbito do órgão ou entidade, proibição de contratar com o Poder Público</w:t>
      </w:r>
      <w:r>
        <w:rPr>
          <w:rFonts w:asciiTheme="minorHAnsi" w:hAnsiTheme="minorHAnsi" w:cstheme="minorHAnsi"/>
          <w:sz w:val="22"/>
          <w:szCs w:val="22"/>
          <w:lang w:eastAsia="en-US"/>
        </w:rPr>
        <w:t>, bem como ocorrências impeditivas indiretas, observado o disposto no art. 29, da Instrução Normativa nº 3, de 26 de abril de 2018;</w:t>
      </w:r>
    </w:p>
    <w:p w14:paraId="5F4C78F9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lastRenderedPageBreak/>
        <w:t>Não havendo regularização ou sendo a defesa considerada improcedente, a contratante deverá comunicar aos órgãos responsáveis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pela fiscalização da regularidade fiscal quanto à inadimplência da contratada, bem como quanto à existência de pagamento a ser efetuado, para que sejam acionados os meios pertinentes e necessários para garantir o recebimento de seus créditos;</w:t>
      </w:r>
    </w:p>
    <w:p w14:paraId="13C9C320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Persistindo </w:t>
      </w:r>
      <w:r>
        <w:rPr>
          <w:rFonts w:asciiTheme="minorHAnsi" w:hAnsiTheme="minorHAnsi" w:cstheme="minorHAnsi"/>
          <w:sz w:val="22"/>
          <w:szCs w:val="22"/>
          <w:lang w:eastAsia="en-US"/>
        </w:rPr>
        <w:t>a irregularidade, a contratante deverá adotar as medidas necessárias à rescisão contratual nos autos do processo administrativo correspondente, assegurada à contratada a ampla defesa;</w:t>
      </w:r>
    </w:p>
    <w:p w14:paraId="3E4F4DDC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Havendo a efetiva execução do objeto, os pagamentos serão </w:t>
      </w:r>
      <w:r>
        <w:rPr>
          <w:rFonts w:asciiTheme="minorHAnsi" w:hAnsiTheme="minorHAnsi" w:cstheme="minorHAnsi"/>
          <w:sz w:val="22"/>
          <w:szCs w:val="22"/>
          <w:lang w:eastAsia="en-US"/>
        </w:rPr>
        <w:t>realizados normalmente, até que se decida pela rescisão do contrato, caso a contratada não regularize sua situação junto ao SICAF:</w:t>
      </w:r>
    </w:p>
    <w:p w14:paraId="036AC359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ind w:left="425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a) Será rescindido o contrato em execução com a contratada inadimplente no SICAF, salvo por motivo    de economicidade, segu</w:t>
      </w:r>
      <w:r>
        <w:rPr>
          <w:rFonts w:asciiTheme="minorHAnsi" w:hAnsiTheme="minorHAnsi" w:cstheme="minorHAnsi"/>
          <w:sz w:val="22"/>
          <w:szCs w:val="22"/>
          <w:lang w:eastAsia="en-US"/>
        </w:rPr>
        <w:t>rança nacional ou outro de interesse público de alta relevância, devidamente justificado, em qualquer caso, pela máxima autoridade da  contratante.</w:t>
      </w:r>
    </w:p>
    <w:p w14:paraId="31D4D951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Quando do pagamento, será efetuada a retenção tributária prevista na legislação aplicável.</w:t>
      </w:r>
    </w:p>
    <w:p w14:paraId="4DA1C3CE" w14:textId="77777777" w:rsidR="00952CCA" w:rsidRDefault="00012618">
      <w:pPr>
        <w:widowControl w:val="0"/>
        <w:tabs>
          <w:tab w:val="left" w:pos="907"/>
          <w:tab w:val="left" w:pos="1440"/>
        </w:tabs>
        <w:suppressAutoHyphens w:val="0"/>
        <w:snapToGrid w:val="0"/>
        <w:spacing w:before="120" w:after="120"/>
        <w:ind w:left="425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a) A Contratada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regularmente optante pelo Simples Nacional, nos termos da Lei Complementar nº 123, de 2006, não sofrerá   a retenção   tributária   quanto   aos   impostos   e  contribuições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abrangidos por aquele regime. No entanto, o pagamento ficará condicionado à apre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sentação de comprovação, por  meio  de   documento  oficial,  de  que   faz   jus   ao   tratamento  tributário 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  <w:t>favorecido previsto na referida Lei Complementar.</w:t>
      </w:r>
    </w:p>
    <w:p w14:paraId="51E18556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Nos casos de eventuais atrasos de pagamento, desde que a Contratada não tenha concorrido,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53C5035E" w14:textId="77777777" w:rsidR="00952CCA" w:rsidRDefault="00012618">
      <w:pPr>
        <w:tabs>
          <w:tab w:val="left" w:pos="1701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EM = I x N x VP, sendo:</w:t>
      </w:r>
    </w:p>
    <w:p w14:paraId="481EFFCB" w14:textId="77777777" w:rsidR="00952CCA" w:rsidRDefault="00012618">
      <w:pPr>
        <w:tabs>
          <w:tab w:val="left" w:pos="1701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= Encargos moratórios;</w:t>
      </w:r>
    </w:p>
    <w:p w14:paraId="6847F5FF" w14:textId="77777777" w:rsidR="00952CCA" w:rsidRDefault="00012618">
      <w:pPr>
        <w:tabs>
          <w:tab w:val="left" w:pos="1701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N = Número de dias entre a data prevista para o pagamento e a do efetivo pagamento;</w:t>
      </w:r>
    </w:p>
    <w:p w14:paraId="2BB51D04" w14:textId="77777777" w:rsidR="00952CCA" w:rsidRDefault="00012618">
      <w:pPr>
        <w:tabs>
          <w:tab w:val="left" w:pos="1701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VP = Valor da parcela a ser paga.</w:t>
      </w:r>
    </w:p>
    <w:p w14:paraId="5E26F313" w14:textId="77777777" w:rsidR="00952CCA" w:rsidRDefault="00012618">
      <w:pPr>
        <w:tabs>
          <w:tab w:val="left" w:pos="1701"/>
        </w:tabs>
        <w:spacing w:before="120"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I = Índice de compensação financeira = 0,00016438, assim apurado:</w:t>
      </w:r>
    </w:p>
    <w:tbl>
      <w:tblPr>
        <w:tblStyle w:val="Tabelacomgrade"/>
        <w:tblW w:w="8740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2089"/>
        <w:gridCol w:w="590"/>
        <w:gridCol w:w="1281"/>
        <w:gridCol w:w="4780"/>
      </w:tblGrid>
      <w:tr w:rsidR="00952CCA" w14:paraId="36686750" w14:textId="77777777"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0AD4" w14:textId="77777777" w:rsidR="00952CCA" w:rsidRDefault="00012618">
            <w:pPr>
              <w:widowControl w:val="0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= (TX)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2236" w14:textId="77777777" w:rsidR="00952CCA" w:rsidRDefault="00012618">
            <w:pPr>
              <w:widowControl w:val="0"/>
              <w:tabs>
                <w:tab w:val="left" w:pos="1701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 = 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313821" w14:textId="77777777" w:rsidR="00952CCA" w:rsidRDefault="00012618">
            <w:pPr>
              <w:widowControl w:val="0"/>
              <w:tabs>
                <w:tab w:val="left" w:pos="1701"/>
              </w:tabs>
              <w:jc w:val="center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( 6 / 100 )</w:t>
            </w:r>
          </w:p>
          <w:p w14:paraId="3542FA8B" w14:textId="77777777" w:rsidR="00952CCA" w:rsidRDefault="00012618">
            <w:pPr>
              <w:widowControl w:val="0"/>
              <w:tabs>
                <w:tab w:val="left" w:pos="1701"/>
              </w:tabs>
              <w:jc w:val="center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74F2" w14:textId="77777777" w:rsidR="00952CCA" w:rsidRDefault="00012618">
            <w:pPr>
              <w:widowControl w:val="0"/>
              <w:tabs>
                <w:tab w:val="left" w:pos="1701"/>
              </w:tabs>
              <w:ind w:left="7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 =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0,00016438</w:t>
            </w:r>
          </w:p>
          <w:p w14:paraId="3E9D5F93" w14:textId="77777777" w:rsidR="00952CCA" w:rsidRDefault="00012618">
            <w:pPr>
              <w:widowControl w:val="0"/>
              <w:tabs>
                <w:tab w:val="left" w:pos="1701"/>
              </w:tabs>
              <w:ind w:left="7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TX = Percentual da taxa anual = 6%</w:t>
            </w:r>
          </w:p>
        </w:tc>
      </w:tr>
    </w:tbl>
    <w:p w14:paraId="5E504AE4" w14:textId="77777777" w:rsidR="00952CCA" w:rsidRDefault="00012618"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955FD12" w14:textId="77777777" w:rsidR="00952CCA" w:rsidRDefault="00012618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 w:cstheme="minorHAnsi"/>
          <w:color w:val="C9211E"/>
          <w:sz w:val="22"/>
          <w:szCs w:val="22"/>
        </w:rPr>
        <w:t xml:space="preserve">   </w:t>
      </w:r>
    </w:p>
    <w:p w14:paraId="02DA7921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 REAJUSTE</w:t>
      </w:r>
    </w:p>
    <w:p w14:paraId="12659572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Os preços são fixos e irreajustáveis no prazo de um ano contado da data limite para a apresentação das propostas.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E230191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DA GARANTIA DE EXECU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ÇÃO</w:t>
      </w:r>
    </w:p>
    <w:p w14:paraId="00000FA4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Não haverá exigência de garantia contratual da execução derivada desse Pregão Eletrônico.</w:t>
      </w:r>
    </w:p>
    <w:p w14:paraId="1D64B2A3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DAS SANÇÕES ADMINISTRATIVAS</w:t>
      </w:r>
    </w:p>
    <w:p w14:paraId="3B25E990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Comete infração administrativa nos termos da Lei nº 10.520, de 2002, a Contratada que:</w:t>
      </w:r>
    </w:p>
    <w:p w14:paraId="387E127A" w14:textId="77777777" w:rsidR="00952CCA" w:rsidRDefault="00952CCA">
      <w:pPr>
        <w:spacing w:before="100" w:after="100"/>
        <w:ind w:left="544" w:hanging="544"/>
        <w:jc w:val="both"/>
        <w:rPr>
          <w:rFonts w:asciiTheme="minorHAnsi" w:hAnsiTheme="minorHAnsi" w:cstheme="minorHAnsi"/>
          <w:sz w:val="22"/>
          <w:szCs w:val="22"/>
        </w:rPr>
      </w:pPr>
    </w:p>
    <w:p w14:paraId="5797B201" w14:textId="77777777" w:rsidR="00952CCA" w:rsidRDefault="00012618">
      <w:pPr>
        <w:numPr>
          <w:ilvl w:val="0"/>
          <w:numId w:val="5"/>
        </w:numPr>
        <w:tabs>
          <w:tab w:val="clear" w:pos="720"/>
        </w:tabs>
        <w:suppressAutoHyphens w:val="0"/>
        <w:spacing w:before="120" w:after="120"/>
        <w:ind w:left="930" w:hanging="505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Inexecutar total ou parcialmente </w:t>
      </w:r>
      <w:r>
        <w:rPr>
          <w:rFonts w:asciiTheme="minorHAnsi" w:hAnsiTheme="minorHAnsi" w:cstheme="minorHAnsi"/>
          <w:sz w:val="22"/>
          <w:szCs w:val="22"/>
        </w:rPr>
        <w:t>qualquer das obrigações assumidas em decorrência da contratação;</w:t>
      </w:r>
    </w:p>
    <w:p w14:paraId="7194A87A" w14:textId="77777777" w:rsidR="00952CCA" w:rsidRDefault="00012618">
      <w:pPr>
        <w:numPr>
          <w:ilvl w:val="0"/>
          <w:numId w:val="5"/>
        </w:numPr>
        <w:tabs>
          <w:tab w:val="clear" w:pos="720"/>
        </w:tabs>
        <w:suppressAutoHyphens w:val="0"/>
        <w:spacing w:before="120" w:after="120"/>
        <w:ind w:left="930" w:hanging="505"/>
      </w:pPr>
      <w:r>
        <w:rPr>
          <w:rFonts w:asciiTheme="minorHAnsi" w:hAnsiTheme="minorHAnsi" w:cstheme="minorHAnsi"/>
          <w:sz w:val="22"/>
          <w:szCs w:val="22"/>
        </w:rPr>
        <w:t>Ensejar o retardamento da execução do objeto;</w:t>
      </w:r>
    </w:p>
    <w:p w14:paraId="6F104189" w14:textId="77777777" w:rsidR="00952CCA" w:rsidRDefault="00012618">
      <w:pPr>
        <w:numPr>
          <w:ilvl w:val="0"/>
          <w:numId w:val="5"/>
        </w:numPr>
        <w:tabs>
          <w:tab w:val="clear" w:pos="720"/>
        </w:tabs>
        <w:suppressAutoHyphens w:val="0"/>
        <w:spacing w:before="120" w:after="120"/>
        <w:ind w:left="930" w:hanging="505"/>
      </w:pPr>
      <w:r>
        <w:rPr>
          <w:rFonts w:asciiTheme="minorHAnsi" w:hAnsiTheme="minorHAnsi" w:cstheme="minorHAnsi"/>
          <w:sz w:val="22"/>
          <w:szCs w:val="22"/>
        </w:rPr>
        <w:t>Falhar ou fraudar na execução do contrato;</w:t>
      </w:r>
    </w:p>
    <w:p w14:paraId="5DAF104A" w14:textId="77777777" w:rsidR="00952CCA" w:rsidRDefault="00012618">
      <w:pPr>
        <w:numPr>
          <w:ilvl w:val="0"/>
          <w:numId w:val="5"/>
        </w:numPr>
        <w:tabs>
          <w:tab w:val="clear" w:pos="720"/>
        </w:tabs>
        <w:suppressAutoHyphens w:val="0"/>
        <w:spacing w:before="120" w:after="120"/>
        <w:ind w:left="930" w:hanging="505"/>
      </w:pPr>
      <w:r>
        <w:rPr>
          <w:rFonts w:asciiTheme="minorHAnsi" w:hAnsiTheme="minorHAnsi" w:cstheme="minorHAnsi"/>
          <w:sz w:val="22"/>
          <w:szCs w:val="22"/>
        </w:rPr>
        <w:t>comportar-se de modo inidôneo;</w:t>
      </w:r>
    </w:p>
    <w:p w14:paraId="2010D9E6" w14:textId="77777777" w:rsidR="00952CCA" w:rsidRDefault="00012618">
      <w:pPr>
        <w:numPr>
          <w:ilvl w:val="0"/>
          <w:numId w:val="5"/>
        </w:numPr>
        <w:tabs>
          <w:tab w:val="clear" w:pos="720"/>
        </w:tabs>
        <w:suppressAutoHyphens w:val="0"/>
        <w:spacing w:before="120" w:after="120"/>
        <w:ind w:left="930" w:hanging="505"/>
      </w:pPr>
      <w:r>
        <w:rPr>
          <w:rFonts w:asciiTheme="minorHAnsi" w:hAnsiTheme="minorHAnsi" w:cstheme="minorHAnsi"/>
          <w:sz w:val="22"/>
          <w:szCs w:val="22"/>
        </w:rPr>
        <w:t>Cometer fraude fiscal.</w:t>
      </w:r>
    </w:p>
    <w:p w14:paraId="41841F6D" w14:textId="77777777" w:rsidR="00952CCA" w:rsidRDefault="00012618">
      <w:pPr>
        <w:numPr>
          <w:ilvl w:val="1"/>
          <w:numId w:val="1"/>
        </w:numPr>
        <w:spacing w:before="100" w:after="100"/>
        <w:ind w:left="544" w:hanging="431"/>
        <w:jc w:val="both"/>
      </w:pPr>
      <w:r>
        <w:rPr>
          <w:rFonts w:asciiTheme="minorHAnsi" w:hAnsiTheme="minorHAnsi" w:cstheme="minorHAnsi"/>
          <w:sz w:val="22"/>
          <w:szCs w:val="22"/>
        </w:rPr>
        <w:t>Pela inexecução total ou parcial do objeto deste</w:t>
      </w:r>
      <w:r>
        <w:rPr>
          <w:rFonts w:asciiTheme="minorHAnsi" w:hAnsiTheme="minorHAnsi" w:cstheme="minorHAnsi"/>
          <w:sz w:val="22"/>
          <w:szCs w:val="22"/>
        </w:rPr>
        <w:t xml:space="preserve"> contrato, a Administração pode aplicar à CONTRATADA as seguintes sanções:</w:t>
      </w:r>
    </w:p>
    <w:p w14:paraId="04B66E65" w14:textId="77777777" w:rsidR="00952CCA" w:rsidRDefault="00012618">
      <w:pPr>
        <w:numPr>
          <w:ilvl w:val="0"/>
          <w:numId w:val="6"/>
        </w:numPr>
        <w:tabs>
          <w:tab w:val="clear" w:pos="720"/>
        </w:tabs>
        <w:suppressAutoHyphens w:val="0"/>
        <w:spacing w:before="120" w:after="120"/>
        <w:ind w:left="930" w:hanging="459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Advertência,</w:t>
      </w:r>
      <w:r>
        <w:rPr>
          <w:rFonts w:asciiTheme="minorHAnsi" w:hAnsiTheme="minorHAnsi" w:cstheme="minorHAnsi"/>
          <w:sz w:val="22"/>
          <w:szCs w:val="22"/>
        </w:rPr>
        <w:t xml:space="preserve"> por faltas leves, assim entendidas aquelas que não acarretem prejuízos significativos para a Contratante;</w:t>
      </w:r>
    </w:p>
    <w:p w14:paraId="65B5CB57" w14:textId="77777777" w:rsidR="00952CCA" w:rsidRDefault="00012618">
      <w:pPr>
        <w:numPr>
          <w:ilvl w:val="0"/>
          <w:numId w:val="6"/>
        </w:numPr>
        <w:tabs>
          <w:tab w:val="clear" w:pos="720"/>
        </w:tabs>
        <w:suppressAutoHyphens w:val="0"/>
        <w:spacing w:before="120" w:after="120"/>
        <w:ind w:left="930" w:hanging="459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multa moratória</w:t>
      </w:r>
      <w:r>
        <w:rPr>
          <w:rFonts w:asciiTheme="minorHAnsi" w:hAnsiTheme="minorHAnsi" w:cstheme="minorHAnsi"/>
          <w:sz w:val="22"/>
          <w:szCs w:val="22"/>
        </w:rPr>
        <w:t xml:space="preserve"> de 0,1% (um décimo por cento) por dia de atraso injustificado sobre o valor da parcela inadimplida, até o limite de 15 (quinze) dias;</w:t>
      </w:r>
    </w:p>
    <w:p w14:paraId="0A46C0B8" w14:textId="77777777" w:rsidR="00952CCA" w:rsidRDefault="00012618">
      <w:pPr>
        <w:numPr>
          <w:ilvl w:val="0"/>
          <w:numId w:val="6"/>
        </w:numPr>
        <w:tabs>
          <w:tab w:val="clear" w:pos="720"/>
        </w:tabs>
        <w:suppressAutoHyphens w:val="0"/>
        <w:spacing w:before="120" w:after="120"/>
        <w:ind w:left="930" w:hanging="459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multa compensatória</w:t>
      </w:r>
      <w:r>
        <w:rPr>
          <w:rFonts w:asciiTheme="minorHAnsi" w:hAnsiTheme="minorHAnsi" w:cstheme="minorHAnsi"/>
          <w:sz w:val="22"/>
          <w:szCs w:val="22"/>
        </w:rPr>
        <w:t xml:space="preserve"> de 5% (cinco por cento) sobre o valor total do contrato, no caso de inexecução total do objeto. Em ca</w:t>
      </w:r>
      <w:r>
        <w:rPr>
          <w:rFonts w:asciiTheme="minorHAnsi" w:hAnsiTheme="minorHAnsi" w:cstheme="minorHAnsi"/>
          <w:sz w:val="22"/>
          <w:szCs w:val="22"/>
        </w:rPr>
        <w:t>so de inexecução parcial, a multa compensatória, no mesmo percentual, será aplicada de forma proporcional à obrigação inadimplida;</w:t>
      </w:r>
    </w:p>
    <w:p w14:paraId="575C0CD6" w14:textId="77777777" w:rsidR="00952CCA" w:rsidRDefault="00012618">
      <w:pPr>
        <w:numPr>
          <w:ilvl w:val="0"/>
          <w:numId w:val="6"/>
        </w:numPr>
        <w:tabs>
          <w:tab w:val="clear" w:pos="720"/>
        </w:tabs>
        <w:suppressAutoHyphens w:val="0"/>
        <w:spacing w:before="120" w:after="120"/>
        <w:ind w:left="930" w:hanging="459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Suspensão de licitar</w:t>
      </w:r>
      <w:r>
        <w:rPr>
          <w:rFonts w:asciiTheme="minorHAnsi" w:hAnsiTheme="minorHAnsi" w:cstheme="minorHAnsi"/>
          <w:sz w:val="22"/>
          <w:szCs w:val="22"/>
        </w:rPr>
        <w:t xml:space="preserve"> e impedimento de contratar com o órgão, entidade ou unidade administrativa pela qual a Administração Pública opera e atua concretamente, pelo prazo de até dois anos; </w:t>
      </w:r>
    </w:p>
    <w:p w14:paraId="01655E37" w14:textId="77777777" w:rsidR="00952CCA" w:rsidRDefault="00012618">
      <w:pPr>
        <w:numPr>
          <w:ilvl w:val="0"/>
          <w:numId w:val="6"/>
        </w:numPr>
        <w:tabs>
          <w:tab w:val="clear" w:pos="720"/>
        </w:tabs>
        <w:suppressAutoHyphens w:val="0"/>
        <w:spacing w:before="120" w:after="120"/>
        <w:ind w:left="930" w:hanging="459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Impedimento de licitar</w:t>
      </w:r>
      <w:r>
        <w:rPr>
          <w:rFonts w:asciiTheme="minorHAnsi" w:hAnsiTheme="minorHAnsi" w:cstheme="minorHAnsi"/>
          <w:sz w:val="22"/>
          <w:szCs w:val="22"/>
        </w:rPr>
        <w:t xml:space="preserve"> e contratar com órgãos e entidades da União com o consequente des</w:t>
      </w:r>
      <w:r>
        <w:rPr>
          <w:rFonts w:asciiTheme="minorHAnsi" w:hAnsiTheme="minorHAnsi" w:cstheme="minorHAnsi"/>
          <w:sz w:val="22"/>
          <w:szCs w:val="22"/>
        </w:rPr>
        <w:t>credenciamento no SICAF pelo prazo de até cinco anos:</w:t>
      </w:r>
    </w:p>
    <w:p w14:paraId="28DC09BF" w14:textId="77777777" w:rsidR="00952CCA" w:rsidRDefault="00012618">
      <w:pPr>
        <w:widowControl w:val="0"/>
        <w:tabs>
          <w:tab w:val="left" w:pos="907"/>
        </w:tabs>
        <w:suppressAutoHyphens w:val="0"/>
        <w:spacing w:before="120" w:after="120"/>
        <w:ind w:hanging="431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1) </w:t>
      </w:r>
      <w:r>
        <w:rPr>
          <w:rFonts w:asciiTheme="minorHAnsi" w:hAnsiTheme="minorHAnsi" w:cstheme="minorHAnsi"/>
          <w:sz w:val="22"/>
          <w:szCs w:val="22"/>
        </w:rPr>
        <w:t xml:space="preserve"> Sanção de impedimento de licitar e contratar prevista neste subitem também é aplicável em </w:t>
      </w:r>
      <w:r>
        <w:rPr>
          <w:rFonts w:asciiTheme="minorHAnsi" w:hAnsiTheme="minorHAnsi" w:cstheme="minorHAnsi"/>
          <w:sz w:val="22"/>
          <w:szCs w:val="22"/>
        </w:rPr>
        <w:tab/>
        <w:t>quaisquer das hipóteses previstas como infração administrativa neste Termo de Referência;</w:t>
      </w:r>
    </w:p>
    <w:p w14:paraId="1C6EACD9" w14:textId="77777777" w:rsidR="00952CCA" w:rsidRDefault="00012618">
      <w:pPr>
        <w:widowControl w:val="0"/>
        <w:tabs>
          <w:tab w:val="left" w:pos="907"/>
        </w:tabs>
        <w:suppressAutoHyphens w:val="0"/>
        <w:spacing w:before="120" w:after="120"/>
        <w:ind w:hanging="431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Declaraç</w:t>
      </w:r>
      <w:r>
        <w:rPr>
          <w:rFonts w:asciiTheme="minorHAnsi" w:hAnsiTheme="minorHAnsi" w:cstheme="minorHAnsi"/>
          <w:sz w:val="22"/>
          <w:szCs w:val="22"/>
        </w:rPr>
        <w:t>ão de inidoneidade para licitar ou contratar com a Administração Pública, en-</w:t>
      </w:r>
      <w:r>
        <w:rPr>
          <w:rFonts w:asciiTheme="minorHAnsi" w:hAnsiTheme="minorHAnsi" w:cstheme="minorHAnsi"/>
          <w:sz w:val="22"/>
          <w:szCs w:val="22"/>
        </w:rPr>
        <w:tab/>
        <w:t>quanto perdurarem os motivos determinantes da punição  ou  até  que  seja promovida a reabili-</w:t>
      </w:r>
      <w:r>
        <w:rPr>
          <w:rFonts w:asciiTheme="minorHAnsi" w:hAnsiTheme="minorHAnsi" w:cstheme="minorHAnsi"/>
          <w:sz w:val="22"/>
          <w:szCs w:val="22"/>
        </w:rPr>
        <w:tab/>
        <w:t>tação perante a própria autoridade que aplicou a  penalidade,  que será concedida s</w:t>
      </w:r>
      <w:r>
        <w:rPr>
          <w:rFonts w:asciiTheme="minorHAnsi" w:hAnsiTheme="minorHAnsi" w:cstheme="minorHAnsi"/>
          <w:sz w:val="22"/>
          <w:szCs w:val="22"/>
        </w:rPr>
        <w:t xml:space="preserve">empre que a </w:t>
      </w:r>
      <w:r>
        <w:rPr>
          <w:rFonts w:asciiTheme="minorHAnsi" w:hAnsiTheme="minorHAnsi" w:cstheme="minorHAnsi"/>
          <w:sz w:val="22"/>
          <w:szCs w:val="22"/>
        </w:rPr>
        <w:tab/>
        <w:t>Contratada ressarcir a Contratante pelos prejuízos causados.</w:t>
      </w:r>
    </w:p>
    <w:p w14:paraId="5CE9B23F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Também ficam sujeitas às penalidades do art. 87, III e IV da Lei nº 8.666, de 1993, as empresas ou profissionais que:</w:t>
      </w:r>
    </w:p>
    <w:p w14:paraId="0C67FFEE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ind w:left="930" w:hanging="459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a)</w:t>
      </w:r>
      <w:r>
        <w:rPr>
          <w:rFonts w:asciiTheme="minorHAnsi" w:hAnsiTheme="minorHAnsi" w:cstheme="minorHAnsi"/>
          <w:sz w:val="22"/>
          <w:szCs w:val="22"/>
        </w:rPr>
        <w:t xml:space="preserve"> tenham sofrido condenação definitiva por praticar, por meio</w:t>
      </w:r>
      <w:r>
        <w:rPr>
          <w:rFonts w:asciiTheme="minorHAnsi" w:hAnsiTheme="minorHAnsi" w:cstheme="minorHAnsi"/>
          <w:sz w:val="22"/>
          <w:szCs w:val="22"/>
        </w:rPr>
        <w:t xml:space="preserve"> dolosos, fraude fiscal no recolhimento de quaisquer tributos;</w:t>
      </w:r>
    </w:p>
    <w:p w14:paraId="0CD211F3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ind w:left="930" w:hanging="459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tenham praticado atos ilícitos visando a frustrar os objetivos da licitação;</w:t>
      </w:r>
    </w:p>
    <w:p w14:paraId="72074B80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/>
        <w:ind w:left="930" w:hanging="459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demonstrem não possuir idoneidade para contratar com a Administração em virtude de atos ilícitos praticado</w:t>
      </w:r>
      <w:r>
        <w:rPr>
          <w:rFonts w:asciiTheme="minorHAnsi" w:hAnsiTheme="minorHAnsi" w:cstheme="minorHAnsi"/>
          <w:sz w:val="22"/>
          <w:szCs w:val="22"/>
        </w:rPr>
        <w:t>s.</w:t>
      </w:r>
    </w:p>
    <w:p w14:paraId="1CE85E7F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 aplicação de qualquer das penalidades previstas realizar-se-á em processo administrativo que assegurará o contraditório e a ampla defesa à Contratada, observando-se o procedimento previsto na Lei nº 8.666, de 1993, e subsidiariamente a Lei nº 9.784, d</w:t>
      </w:r>
      <w:r>
        <w:rPr>
          <w:rFonts w:asciiTheme="minorHAnsi" w:hAnsiTheme="minorHAnsi" w:cstheme="minorHAnsi"/>
          <w:sz w:val="22"/>
          <w:szCs w:val="22"/>
        </w:rPr>
        <w:t>e 1999;</w:t>
      </w:r>
    </w:p>
    <w:p w14:paraId="197DDE51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</w:t>
      </w:r>
      <w:r>
        <w:rPr>
          <w:rFonts w:asciiTheme="minorHAnsi" w:hAnsiTheme="minorHAnsi" w:cstheme="minorHAnsi"/>
          <w:sz w:val="22"/>
          <w:szCs w:val="22"/>
        </w:rPr>
        <w:t>ente.</w:t>
      </w:r>
    </w:p>
    <w:p w14:paraId="0CC69B67" w14:textId="77777777" w:rsidR="00952CCA" w:rsidRDefault="00012618">
      <w:pPr>
        <w:widowControl w:val="0"/>
        <w:tabs>
          <w:tab w:val="left" w:pos="907"/>
        </w:tabs>
        <w:suppressAutoHyphens w:val="0"/>
        <w:spacing w:before="120" w:after="120"/>
        <w:ind w:left="930" w:hanging="459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a) Caso a Contratante determine, a multa deverá ser recolhida no prazo máximo de 10 (dez) dias, a contar da data do recebimento da comunicação enviada pela autoridade competente.</w:t>
      </w:r>
    </w:p>
    <w:p w14:paraId="3A4466F4" w14:textId="77777777" w:rsidR="00952CCA" w:rsidRDefault="00952CCA">
      <w:pPr>
        <w:widowControl w:val="0"/>
        <w:tabs>
          <w:tab w:val="left" w:pos="907"/>
        </w:tabs>
        <w:suppressAutoHyphens w:val="0"/>
        <w:spacing w:before="120" w:after="120"/>
        <w:ind w:left="930" w:hanging="45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2E82BE" w14:textId="77777777" w:rsidR="00952CCA" w:rsidRDefault="00952CCA">
      <w:pPr>
        <w:widowControl w:val="0"/>
        <w:tabs>
          <w:tab w:val="left" w:pos="907"/>
        </w:tabs>
        <w:suppressAutoHyphens w:val="0"/>
        <w:spacing w:before="120" w:after="120"/>
        <w:ind w:left="930" w:hanging="45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5AA6A4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Caso o valor da multa não seja suficiente para cobrir os prejuízos </w:t>
      </w:r>
      <w:r>
        <w:rPr>
          <w:rFonts w:asciiTheme="minorHAnsi" w:hAnsiTheme="minorHAnsi" w:cstheme="minorHAnsi"/>
          <w:sz w:val="22"/>
          <w:szCs w:val="22"/>
        </w:rPr>
        <w:t>causados pela conduta do licitante, a União ou Entidade poderá cobrar o valor remanescente judicialmente, conforme artigo 419 do Código Civil;</w:t>
      </w:r>
    </w:p>
    <w:p w14:paraId="2CB79F8C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 autoridade competente, na aplicação das sanções, levará em consideração a gravidade da conduta do infrator, o c</w:t>
      </w:r>
      <w:r>
        <w:rPr>
          <w:rFonts w:asciiTheme="minorHAnsi" w:hAnsiTheme="minorHAnsi" w:cstheme="minorHAnsi"/>
          <w:sz w:val="22"/>
          <w:szCs w:val="22"/>
        </w:rPr>
        <w:t>aráter educativo da pena, bem como o dano causado à Administração, observado o princípio da proporcionalidade;</w:t>
      </w:r>
    </w:p>
    <w:p w14:paraId="1B7079A8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Se, durante o processo de aplicação de penalidade, se houver indícios de prática de infração administrativa tipificada pela Lei nº 12.846, de </w:t>
      </w:r>
      <w:r>
        <w:rPr>
          <w:rFonts w:asciiTheme="minorHAnsi" w:hAnsiTheme="minorHAnsi" w:cstheme="minorHAnsi"/>
          <w:sz w:val="22"/>
          <w:szCs w:val="22"/>
        </w:rPr>
        <w:t>1º de agosto de 2013, como ato lesivo à administração pública nacional ou estrangeira, cópias do processo administrativo necessário à apuração da responsabilidade da empresa deverão ser remetidas à autoridade competente, com despacho fundamentado, para ciê</w:t>
      </w:r>
      <w:r>
        <w:rPr>
          <w:rFonts w:asciiTheme="minorHAnsi" w:hAnsiTheme="minorHAnsi" w:cstheme="minorHAnsi"/>
          <w:sz w:val="22"/>
          <w:szCs w:val="22"/>
        </w:rPr>
        <w:t>ncia e decisão sobre a eventual instauração de investigação preliminar ou Processo Administrativo de Responsabilização – PAR;</w:t>
      </w:r>
    </w:p>
    <w:p w14:paraId="44F7D38F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A apuração e o julgamento das demais infrações administrativas não consideradas como ato lesivo à Administração Pública nacional o</w:t>
      </w:r>
      <w:r>
        <w:rPr>
          <w:rFonts w:asciiTheme="minorHAnsi" w:hAnsiTheme="minorHAnsi" w:cstheme="minorHAnsi"/>
          <w:sz w:val="22"/>
          <w:szCs w:val="22"/>
        </w:rPr>
        <w:t>u estrangeira nos termos da Lei nº 12.846, de 1º de agosto de 2013, seguirão seu rito normal na unidade administrativa;</w:t>
      </w:r>
    </w:p>
    <w:p w14:paraId="727BF142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O processamento do PAR não interfere no seguimento regular dos processos administrativos específicos para apuração da ocorrência de dano</w:t>
      </w:r>
      <w:r>
        <w:rPr>
          <w:rFonts w:asciiTheme="minorHAnsi" w:hAnsiTheme="minorHAnsi" w:cstheme="minorHAnsi"/>
          <w:sz w:val="22"/>
          <w:szCs w:val="22"/>
        </w:rPr>
        <w:t xml:space="preserve">s e prejuízos à Administração Pública Federal resultantes de ato lesivo cometido por pessoa jurídica, com ou sem a participação de agente público. </w:t>
      </w:r>
    </w:p>
    <w:p w14:paraId="17E368CA" w14:textId="77777777" w:rsidR="00952CCA" w:rsidRDefault="00012618">
      <w:pPr>
        <w:widowControl w:val="0"/>
        <w:tabs>
          <w:tab w:val="left" w:pos="907"/>
        </w:tabs>
        <w:suppressAutoHyphens w:val="0"/>
        <w:spacing w:before="102" w:after="102" w:line="276" w:lineRule="auto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ab/>
        <w:t>a) As penalidades serão obrigatoriamente registradas no SICAF.</w:t>
      </w:r>
    </w:p>
    <w:p w14:paraId="0A37D1F2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ESTIMATIVA DE PREÇOS E PREÇOS PREFERENCIAIS</w:t>
      </w:r>
    </w:p>
    <w:p w14:paraId="1A7DEC1C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iCs/>
          <w:sz w:val="22"/>
          <w:szCs w:val="22"/>
        </w:rPr>
        <w:t>O custo estimado total da contratação é 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R$ 527.117,13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(quinhentos e vinte e sete mil, cento e dezessete reais e treze centavos)</w:t>
      </w:r>
      <w:r>
        <w:rPr>
          <w:rFonts w:asciiTheme="minorHAnsi" w:hAnsiTheme="minorHAnsi" w:cstheme="minorHAnsi"/>
          <w:iCs/>
          <w:color w:val="000000"/>
          <w:sz w:val="22"/>
          <w:szCs w:val="22"/>
          <w:highlight w:val="white"/>
        </w:rPr>
        <w:t>, e o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valor máximo aceitável por item  está previsto 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no Anexo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I-A</w:t>
      </w:r>
      <w:r>
        <w:rPr>
          <w:rFonts w:asciiTheme="minorHAnsi" w:hAnsiTheme="minorHAnsi" w:cstheme="minorHAnsi"/>
          <w:iCs/>
          <w:sz w:val="22"/>
          <w:szCs w:val="22"/>
        </w:rPr>
        <w:t xml:space="preserve"> deste Termo de Referência;</w:t>
      </w:r>
    </w:p>
    <w:p w14:paraId="6BD7B4AD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existência de preços registrados não obriga a Administração a firmar as contratações que deles poderão advir, facultando-se a realização de licitação específica para a contratação pretendida, sendo assegurada ao beneficiário do Registro a preferência de f</w:t>
      </w:r>
      <w:r>
        <w:rPr>
          <w:rFonts w:asciiTheme="minorHAnsi" w:hAnsiTheme="minorHAnsi" w:cstheme="minorHAnsi"/>
          <w:sz w:val="22"/>
          <w:szCs w:val="22"/>
        </w:rPr>
        <w:t xml:space="preserve">ornecimento em igualdade de </w:t>
      </w:r>
      <w:bookmarkStart w:id="4" w:name="__DdeLink__524_490341164"/>
      <w:r>
        <w:rPr>
          <w:rFonts w:asciiTheme="minorHAnsi" w:hAnsiTheme="minorHAnsi" w:cstheme="minorHAnsi"/>
          <w:sz w:val="22"/>
          <w:szCs w:val="22"/>
        </w:rPr>
        <w:t>condições;</w:t>
      </w:r>
    </w:p>
    <w:p w14:paraId="4D3B4E21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Os 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bens objeto da aquisição estão dentro da padronização seguida pelo órgão, conforme especificações técnicas e requisitos de desempenho constantes do </w:t>
      </w:r>
      <w:r>
        <w:rPr>
          <w:rFonts w:asciiTheme="minorHAnsi" w:hAnsiTheme="minorHAnsi" w:cstheme="minorHAnsi"/>
          <w:b/>
          <w:sz w:val="22"/>
          <w:szCs w:val="22"/>
        </w:rPr>
        <w:t>Catálogo Unificado de Materiais - CATMAT do SIASG;</w:t>
      </w:r>
    </w:p>
    <w:p w14:paraId="7731166F" w14:textId="77777777" w:rsidR="00952CCA" w:rsidRDefault="00012618">
      <w:pPr>
        <w:numPr>
          <w:ilvl w:val="1"/>
          <w:numId w:val="1"/>
        </w:numPr>
        <w:spacing w:before="100" w:after="100"/>
        <w:ind w:left="544" w:hanging="544"/>
        <w:jc w:val="both"/>
      </w:pPr>
      <w:r>
        <w:rPr>
          <w:rFonts w:asciiTheme="minorHAnsi" w:hAnsiTheme="minorHAnsi" w:cstheme="minorHAnsi"/>
          <w:sz w:val="22"/>
          <w:szCs w:val="22"/>
        </w:rPr>
        <w:t>Em caso de dive</w:t>
      </w:r>
      <w:r>
        <w:rPr>
          <w:rFonts w:asciiTheme="minorHAnsi" w:hAnsiTheme="minorHAnsi" w:cstheme="minorHAnsi"/>
          <w:sz w:val="22"/>
          <w:szCs w:val="22"/>
        </w:rPr>
        <w:t xml:space="preserve">rgência entre as descrições e especificações constantes do </w:t>
      </w:r>
      <w:r>
        <w:rPr>
          <w:rFonts w:asciiTheme="minorHAnsi" w:hAnsiTheme="minorHAnsi" w:cstheme="minorHAnsi"/>
          <w:b/>
          <w:sz w:val="22"/>
          <w:szCs w:val="22"/>
        </w:rPr>
        <w:t>CATMAT</w:t>
      </w:r>
      <w:r>
        <w:rPr>
          <w:rFonts w:asciiTheme="minorHAnsi" w:hAnsiTheme="minorHAnsi" w:cstheme="minorHAnsi"/>
          <w:sz w:val="22"/>
          <w:szCs w:val="22"/>
        </w:rPr>
        <w:t xml:space="preserve"> e do presente Termo de Referência, prevalecem as últimas.</w:t>
      </w:r>
    </w:p>
    <w:p w14:paraId="3136A759" w14:textId="77777777" w:rsidR="00952CCA" w:rsidRDefault="00012618">
      <w:pPr>
        <w:numPr>
          <w:ilvl w:val="0"/>
          <w:numId w:val="1"/>
        </w:numPr>
        <w:suppressAutoHyphens w:val="0"/>
        <w:spacing w:before="480" w:after="120"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DOS RECURSOS ORÇAMENTÁRIOS</w:t>
      </w:r>
    </w:p>
    <w:p w14:paraId="18BEC119" w14:textId="77777777" w:rsidR="00952CCA" w:rsidRDefault="00012618">
      <w:pPr>
        <w:numPr>
          <w:ilvl w:val="1"/>
          <w:numId w:val="1"/>
        </w:numPr>
        <w:suppressAutoHyphens w:val="0"/>
        <w:spacing w:line="276" w:lineRule="auto"/>
        <w:ind w:left="426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De acordo o Decreto 7892/2013, Art. 7º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§ 2º:</w:t>
      </w:r>
    </w:p>
    <w:p w14:paraId="6902A5A9" w14:textId="77777777" w:rsidR="00952CCA" w:rsidRDefault="00012618">
      <w:pPr>
        <w:suppressAutoHyphens w:val="0"/>
        <w:spacing w:after="240" w:line="276" w:lineRule="auto"/>
        <w:ind w:left="710"/>
        <w:jc w:val="both"/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“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Na licitação para registro de preços não é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necessário indicar a dotação orçamentária, que somente será exigida para a formalização do contrato ou outro instrumento hábil.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59A2C79" w14:textId="77777777" w:rsidR="00952CCA" w:rsidRDefault="00012618">
      <w:pPr>
        <w:numPr>
          <w:ilvl w:val="1"/>
          <w:numId w:val="1"/>
        </w:numPr>
        <w:suppressAutoHyphens w:val="0"/>
        <w:spacing w:after="240" w:line="276" w:lineRule="auto"/>
        <w:ind w:left="426"/>
        <w:jc w:val="both"/>
      </w:pPr>
      <w:r>
        <w:rPr>
          <w:rFonts w:asciiTheme="minorHAnsi" w:hAnsiTheme="minorHAnsi" w:cstheme="minorHAnsi"/>
          <w:sz w:val="22"/>
          <w:szCs w:val="22"/>
          <w:lang w:eastAsia="en-US"/>
        </w:rPr>
        <w:t>A célula orçamentária reservada para efetuar a presente aquisição será apresentada no momento da emissão da nota de empenho.</w:t>
      </w:r>
    </w:p>
    <w:p w14:paraId="26A8DCE6" w14:textId="77777777" w:rsidR="00952CCA" w:rsidRDefault="00952CC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72F2D36" w14:textId="77777777" w:rsidR="00952CCA" w:rsidRDefault="00952CC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7E6394D" w14:textId="77777777" w:rsidR="00952CCA" w:rsidRDefault="00012618">
      <w:bookmarkStart w:id="5" w:name="__DdeLink__2193_4067510062"/>
      <w:bookmarkEnd w:id="5"/>
      <w:r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RESPONSÁVEL PELA ELABORAÇÃO DO TERMO DE REFERÊNCIA:</w:t>
      </w:r>
    </w:p>
    <w:p w14:paraId="4630F9CB" w14:textId="77777777" w:rsidR="00952CCA" w:rsidRDefault="00952CC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42" w:type="dxa"/>
        <w:tblInd w:w="594" w:type="dxa"/>
        <w:tblLayout w:type="fixed"/>
        <w:tblLook w:val="0000" w:firstRow="0" w:lastRow="0" w:firstColumn="0" w:lastColumn="0" w:noHBand="0" w:noVBand="0"/>
      </w:tblPr>
      <w:tblGrid>
        <w:gridCol w:w="4817"/>
        <w:gridCol w:w="4425"/>
      </w:tblGrid>
      <w:tr w:rsidR="00952CCA" w14:paraId="54AE42AA" w14:textId="77777777">
        <w:tc>
          <w:tcPr>
            <w:tcW w:w="4816" w:type="dxa"/>
            <w:shd w:val="clear" w:color="auto" w:fill="FFFFFF"/>
          </w:tcPr>
          <w:p w14:paraId="5FEBAAC6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Representante Técnico </w:t>
            </w:r>
          </w:p>
          <w:p w14:paraId="6F035973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</w:t>
            </w:r>
          </w:p>
          <w:p w14:paraId="6E8B83B7" w14:textId="77777777" w:rsidR="00952CCA" w:rsidRDefault="00012618">
            <w:pPr>
              <w:widowControl w:val="0"/>
              <w:tabs>
                <w:tab w:val="left" w:pos="709"/>
              </w:tabs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Luiz Cláudio Schara Magalhães</w:t>
            </w:r>
          </w:p>
          <w:p w14:paraId="7948F5E5" w14:textId="77777777" w:rsidR="00952CCA" w:rsidRDefault="00012618">
            <w:pPr>
              <w:widowControl w:val="0"/>
              <w:tabs>
                <w:tab w:val="left" w:pos="709"/>
              </w:tabs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Siape 1087130</w:t>
            </w:r>
          </w:p>
          <w:p w14:paraId="7F0E3A1D" w14:textId="77777777" w:rsidR="00952CCA" w:rsidRDefault="00012618">
            <w:pPr>
              <w:widowControl w:val="0"/>
              <w:tabs>
                <w:tab w:val="left" w:pos="709"/>
              </w:tabs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TET – DEP DE  ENG TELECOMUNICAÇÕES</w:t>
            </w:r>
          </w:p>
          <w:p w14:paraId="5FD86857" w14:textId="77777777" w:rsidR="00952CCA" w:rsidRDefault="00952CCA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lang w:eastAsia="pt-BR"/>
              </w:rPr>
            </w:pPr>
          </w:p>
        </w:tc>
        <w:tc>
          <w:tcPr>
            <w:tcW w:w="4425" w:type="dxa"/>
            <w:shd w:val="clear" w:color="auto" w:fill="FFFFFF"/>
          </w:tcPr>
          <w:p w14:paraId="0C27AA8D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Representante Administrativo</w:t>
            </w:r>
          </w:p>
          <w:p w14:paraId="68C687A3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</w:t>
            </w:r>
          </w:p>
          <w:p w14:paraId="234E5CB2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João Paulo Marques Moraes</w:t>
            </w:r>
          </w:p>
          <w:p w14:paraId="1046E266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Siape 1549110</w:t>
            </w:r>
          </w:p>
          <w:p w14:paraId="0A680C58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PROAD</w:t>
            </w:r>
          </w:p>
        </w:tc>
      </w:tr>
      <w:tr w:rsidR="00952CCA" w14:paraId="7F1A2104" w14:textId="77777777">
        <w:tc>
          <w:tcPr>
            <w:tcW w:w="9241" w:type="dxa"/>
            <w:gridSpan w:val="2"/>
            <w:shd w:val="clear" w:color="auto" w:fill="FFFFFF"/>
          </w:tcPr>
          <w:p w14:paraId="3C406487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ind w:left="709" w:right="-1" w:hanging="709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Demandante </w:t>
            </w:r>
          </w:p>
          <w:p w14:paraId="0D5D50AF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------------------------------------------------------------------</w:t>
            </w:r>
          </w:p>
          <w:p w14:paraId="4FED018C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Henrique Oswaldo Uzêda Pereira de Souza</w:t>
            </w:r>
          </w:p>
          <w:p w14:paraId="526125A2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Siape 306763</w:t>
            </w:r>
          </w:p>
          <w:p w14:paraId="73EDA685" w14:textId="77777777" w:rsidR="00952CCA" w:rsidRDefault="00012618">
            <w:pPr>
              <w:pStyle w:val="Recuodecorpodetexto"/>
              <w:widowControl w:val="0"/>
              <w:tabs>
                <w:tab w:val="left" w:pos="709"/>
              </w:tabs>
              <w:spacing w:line="240" w:lineRule="auto"/>
              <w:ind w:left="709" w:right="-1" w:hanging="709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Gerência Governança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Segurança da Informação - GGSI</w:t>
            </w:r>
          </w:p>
        </w:tc>
      </w:tr>
    </w:tbl>
    <w:p w14:paraId="28719B74" w14:textId="77777777" w:rsidR="00952CCA" w:rsidRDefault="00012618">
      <w:pPr>
        <w:pStyle w:val="Recuodecorpodetexto"/>
        <w:tabs>
          <w:tab w:val="left" w:pos="709"/>
        </w:tabs>
        <w:spacing w:before="120" w:line="240" w:lineRule="auto"/>
        <w:ind w:left="709" w:right="-1" w:hanging="709"/>
        <w:jc w:val="left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Autoridade máxima da área de Tecnologia:</w:t>
      </w:r>
    </w:p>
    <w:p w14:paraId="29657481" w14:textId="77777777" w:rsidR="00952CCA" w:rsidRDefault="00012618">
      <w:pPr>
        <w:pStyle w:val="Recuodecorpodetexto"/>
        <w:tabs>
          <w:tab w:val="left" w:pos="709"/>
        </w:tabs>
        <w:spacing w:before="120" w:line="240" w:lineRule="auto"/>
        <w:ind w:left="709" w:right="-1" w:hanging="709"/>
        <w:jc w:val="center"/>
      </w:pP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343337A7" w14:textId="77777777" w:rsidR="00952CCA" w:rsidRDefault="00012618">
      <w:pPr>
        <w:pStyle w:val="Recuodecorpodetexto"/>
        <w:tabs>
          <w:tab w:val="left" w:pos="709"/>
        </w:tabs>
        <w:spacing w:line="240" w:lineRule="auto"/>
        <w:ind w:left="709" w:right="-1" w:hanging="709"/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Hélcio de Almeida Rocha  - </w:t>
      </w:r>
      <w:r>
        <w:rPr>
          <w:rFonts w:asciiTheme="minorHAnsi" w:hAnsiTheme="minorHAnsi" w:cstheme="minorHAnsi"/>
          <w:color w:val="000000"/>
          <w:sz w:val="22"/>
          <w:szCs w:val="22"/>
        </w:rPr>
        <w:t>Superintendente da STI</w:t>
      </w:r>
    </w:p>
    <w:p w14:paraId="2BEAE3C0" w14:textId="77777777" w:rsidR="00952CCA" w:rsidRDefault="00012618">
      <w:pPr>
        <w:pStyle w:val="Recuodecorpodetexto"/>
        <w:tabs>
          <w:tab w:val="left" w:pos="709"/>
        </w:tabs>
        <w:spacing w:line="240" w:lineRule="auto"/>
        <w:ind w:left="709" w:right="-1" w:hanging="709"/>
        <w:jc w:val="center"/>
      </w:pPr>
      <w:r>
        <w:rPr>
          <w:rFonts w:asciiTheme="minorHAnsi" w:hAnsiTheme="minorHAnsi" w:cstheme="minorHAnsi"/>
          <w:sz w:val="22"/>
          <w:szCs w:val="22"/>
        </w:rPr>
        <w:t>Siape 302823</w:t>
      </w:r>
    </w:p>
    <w:p w14:paraId="6D300DAC" w14:textId="77777777" w:rsidR="00952CCA" w:rsidRDefault="00952CCA">
      <w:pPr>
        <w:tabs>
          <w:tab w:val="left" w:pos="993"/>
        </w:tabs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7895FEA" w14:textId="77777777" w:rsidR="00952CCA" w:rsidRDefault="00012618">
      <w:pPr>
        <w:pStyle w:val="Normal1"/>
        <w:spacing w:before="100" w:after="100"/>
      </w:pP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Aprovo o Termo de Referência para licitação de Materiais de TI  para </w:t>
      </w:r>
      <w:r>
        <w:rPr>
          <w:rFonts w:asciiTheme="minorHAnsi" w:eastAsia="Arial Narrow" w:hAnsiTheme="minorHAnsi" w:cstheme="minorHAnsi"/>
          <w:b/>
          <w:sz w:val="22"/>
          <w:szCs w:val="22"/>
        </w:rPr>
        <w:t>Redes Wifi:</w:t>
      </w:r>
    </w:p>
    <w:p w14:paraId="1C318B85" w14:textId="77777777" w:rsidR="00952CCA" w:rsidRDefault="00012618">
      <w:pPr>
        <w:pStyle w:val="Normal1"/>
        <w:spacing w:before="100" w:after="100"/>
        <w:jc w:val="center"/>
      </w:pPr>
      <w:r>
        <w:rPr>
          <w:rFonts w:asciiTheme="minorHAnsi" w:eastAsia="Arial Narrow" w:hAnsiTheme="minorHAnsi" w:cstheme="minorHAnsi"/>
          <w:b/>
          <w:bCs/>
          <w:sz w:val="22"/>
          <w:szCs w:val="22"/>
        </w:rPr>
        <w:t>______________________________________________</w:t>
      </w:r>
    </w:p>
    <w:p w14:paraId="33C23C4B" w14:textId="77777777" w:rsidR="00952CCA" w:rsidRDefault="00012618">
      <w:pPr>
        <w:pStyle w:val="Normal1"/>
        <w:spacing w:before="100" w:after="100"/>
        <w:jc w:val="center"/>
      </w:pPr>
      <w:r>
        <w:rPr>
          <w:rFonts w:asciiTheme="minorHAnsi" w:eastAsia="Arial Narrow" w:hAnsiTheme="minorHAnsi" w:cstheme="minorHAnsi"/>
          <w:b/>
          <w:bCs/>
          <w:sz w:val="22"/>
          <w:szCs w:val="22"/>
        </w:rPr>
        <w:t>Autoridade Competente Pró-Reitoria de Administração</w:t>
      </w:r>
    </w:p>
    <w:p w14:paraId="3D8FCDF5" w14:textId="0E9E64D2" w:rsidR="00952CCA" w:rsidRDefault="00012618">
      <w:pPr>
        <w:suppressAutoHyphens w:val="0"/>
        <w:spacing w:before="120" w:after="120"/>
        <w:ind w:left="284" w:right="-30"/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Niterói-RJ    </w:t>
      </w:r>
      <w:r w:rsidR="0053392A">
        <w:rPr>
          <w:rFonts w:asciiTheme="minorHAnsi" w:hAnsiTheme="minorHAnsi" w:cstheme="minorHAnsi"/>
          <w:b/>
          <w:bCs/>
          <w:iCs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de agosto</w:t>
      </w:r>
      <w:r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de 2021.</w:t>
      </w:r>
    </w:p>
    <w:sectPr w:rsidR="00952CCA">
      <w:headerReference w:type="default" r:id="rId10"/>
      <w:footerReference w:type="default" r:id="rId11"/>
      <w:pgSz w:w="11906" w:h="16838"/>
      <w:pgMar w:top="1599" w:right="1119" w:bottom="1441" w:left="1119" w:header="181" w:footer="710" w:gutter="0"/>
      <w:pgBorders>
        <w:top w:val="threeDEngrave" w:sz="18" w:space="0" w:color="000000"/>
        <w:left w:val="threeDEngrave" w:sz="18" w:space="25" w:color="000000"/>
        <w:bottom w:val="threeDEmboss" w:sz="18" w:space="6" w:color="000000"/>
        <w:right w:val="threeDEmboss" w:sz="18" w:space="25" w:color="000000"/>
      </w:pgBorders>
      <w:cols w:space="720"/>
      <w:formProt w:val="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9C70" w14:textId="77777777" w:rsidR="00012618" w:rsidRDefault="00012618">
      <w:r>
        <w:separator/>
      </w:r>
    </w:p>
  </w:endnote>
  <w:endnote w:type="continuationSeparator" w:id="0">
    <w:p w14:paraId="5A6509CF" w14:textId="77777777" w:rsidR="00012618" w:rsidRDefault="0001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</w:font>
  <w:font w:name="StarSymbol">
    <w:charset w:val="00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Cambria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E65" w14:textId="77777777" w:rsidR="00952CCA" w:rsidRDefault="00012618">
    <w:pPr>
      <w:pStyle w:val="Rodap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7AC6B170" w14:textId="77777777" w:rsidR="00952CCA" w:rsidRDefault="00012618">
    <w:pPr>
      <w:pStyle w:val="Rodap1"/>
      <w:jc w:val="center"/>
    </w:pPr>
    <w:r>
      <w:rPr>
        <w:sz w:val="12"/>
        <w:szCs w:val="12"/>
      </w:rPr>
      <w:t>Termo de Referência SRP – Modelo AGU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t>12/12</w:t>
    </w:r>
  </w:p>
  <w:p w14:paraId="33921358" w14:textId="77777777" w:rsidR="00952CCA" w:rsidRDefault="00952CCA">
    <w:pPr>
      <w:pStyle w:val="Rodap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FEAC" w14:textId="77777777" w:rsidR="00012618" w:rsidRDefault="00012618">
      <w:r>
        <w:separator/>
      </w:r>
    </w:p>
  </w:footnote>
  <w:footnote w:type="continuationSeparator" w:id="0">
    <w:p w14:paraId="7169C886" w14:textId="77777777" w:rsidR="00012618" w:rsidRDefault="0001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D40F" w14:textId="77777777" w:rsidR="00952CCA" w:rsidRDefault="00952CCA">
    <w:pPr>
      <w:pStyle w:val="Cabealho1"/>
      <w:jc w:val="right"/>
      <w:rPr>
        <w:rFonts w:ascii="Verdana" w:hAnsi="Verdana"/>
        <w:sz w:val="16"/>
        <w:szCs w:val="16"/>
      </w:rPr>
    </w:pPr>
  </w:p>
  <w:p w14:paraId="49B931D1" w14:textId="77777777" w:rsidR="00952CCA" w:rsidRDefault="00952CCA">
    <w:pPr>
      <w:pStyle w:val="Cabealho1"/>
      <w:jc w:val="right"/>
      <w:rPr>
        <w:rFonts w:ascii="Verdana" w:hAnsi="Verdana"/>
        <w:sz w:val="16"/>
        <w:szCs w:val="16"/>
      </w:rPr>
    </w:pPr>
  </w:p>
  <w:p w14:paraId="366263E4" w14:textId="77777777" w:rsidR="00952CCA" w:rsidRDefault="00012618">
    <w:pPr>
      <w:pStyle w:val="Cabealho1"/>
      <w:jc w:val="right"/>
      <w:rPr>
        <w:color w:val="000000"/>
      </w:rPr>
    </w:pPr>
    <w:r>
      <w:rPr>
        <w:noProof/>
      </w:rPr>
      <w:drawing>
        <wp:anchor distT="0" distB="0" distL="0" distR="0" simplePos="0" relativeHeight="13" behindDoc="1" locked="0" layoutInCell="0" allowOverlap="1" wp14:anchorId="32318C0D" wp14:editId="31D69F7F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75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5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6"/>
        <w:szCs w:val="16"/>
      </w:rPr>
      <w:t xml:space="preserve">Processo n.º </w:t>
    </w:r>
    <w:r>
      <w:rPr>
        <w:rFonts w:ascii="Calibri" w:hAnsi="Calibri"/>
        <w:color w:val="000000"/>
      </w:rPr>
      <w:t xml:space="preserve">23069.161257/2021-81 </w:t>
    </w:r>
  </w:p>
  <w:p w14:paraId="779EDF7E" w14:textId="77777777" w:rsidR="00952CCA" w:rsidRDefault="00952CCA">
    <w:pP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99"/>
    <w:multiLevelType w:val="multilevel"/>
    <w:tmpl w:val="C4768802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16" w:hanging="432"/>
      </w:pPr>
      <w:rPr>
        <w:rFonts w:ascii="Calibri" w:eastAsia="Calibri" w:hAnsi="Calibri" w:cs="Calibri"/>
        <w:b/>
        <w:bCs/>
        <w:iCs/>
        <w:color w:val="auto"/>
        <w:kern w:val="0"/>
        <w:sz w:val="22"/>
        <w:szCs w:val="22"/>
        <w:lang w:val="pt-BR" w:eastAsia="pt-BR" w:bidi="ar-SA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930" w:hanging="504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1" w:hanging="6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1" w15:restartNumberingAfterBreak="0">
    <w:nsid w:val="191315AD"/>
    <w:multiLevelType w:val="multilevel"/>
    <w:tmpl w:val="9E4EB2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2" w15:restartNumberingAfterBreak="0">
    <w:nsid w:val="1E097354"/>
    <w:multiLevelType w:val="multilevel"/>
    <w:tmpl w:val="72B60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C0257A"/>
    <w:multiLevelType w:val="multilevel"/>
    <w:tmpl w:val="FDEE5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4" w15:restartNumberingAfterBreak="0">
    <w:nsid w:val="21ED31BA"/>
    <w:multiLevelType w:val="multilevel"/>
    <w:tmpl w:val="E4A41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5" w15:restartNumberingAfterBreak="0">
    <w:nsid w:val="2AB93882"/>
    <w:multiLevelType w:val="multilevel"/>
    <w:tmpl w:val="3F6C8A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0"/>
        <w:szCs w:val="20"/>
        <w:vertAlign w:val="baseline"/>
      </w:rPr>
    </w:lvl>
  </w:abstractNum>
  <w:abstractNum w:abstractNumId="6" w15:restartNumberingAfterBreak="0">
    <w:nsid w:val="67D94F3A"/>
    <w:multiLevelType w:val="multilevel"/>
    <w:tmpl w:val="6442A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7" w15:restartNumberingAfterBreak="0">
    <w:nsid w:val="7FD6017B"/>
    <w:multiLevelType w:val="multilevel"/>
    <w:tmpl w:val="2918CB68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16" w:hanging="432"/>
      </w:pPr>
      <w:rPr>
        <w:rFonts w:asciiTheme="minorHAnsi" w:hAnsiTheme="minorHAnsi" w:cstheme="minorHAnsi" w:hint="default"/>
        <w:b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930" w:hanging="504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1" w:hanging="6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A"/>
    <w:rsid w:val="00012618"/>
    <w:rsid w:val="001D6AE7"/>
    <w:rsid w:val="00382BA2"/>
    <w:rsid w:val="0053392A"/>
    <w:rsid w:val="00923465"/>
    <w:rsid w:val="00952CCA"/>
    <w:rsid w:val="00BF75DF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292A"/>
  <w15:docId w15:val="{91B08A1F-C383-4DF7-BBFB-D8E2153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1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1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1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1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1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1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1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1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Linkdainternetvisitado">
    <w:name w:val="Link da internet visitado"/>
    <w:qFormat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  <w:rPr>
      <w:b/>
      <w:bCs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7E56F9"/>
    <w:rPr>
      <w:rFonts w:ascii="Arial" w:hAnsi="Arial" w:cs="Tahoma"/>
    </w:rPr>
  </w:style>
  <w:style w:type="character" w:customStyle="1" w:styleId="ncoradanotaderodap">
    <w:name w:val="Âncora da nota de rodapé"/>
    <w:rsid w:val="0013700F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7E56F9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551164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customStyle="1" w:styleId="Ttulo11">
    <w:name w:val="Título 1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customStyle="1" w:styleId="Ttulo21">
    <w:name w:val="Título 21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customStyle="1" w:styleId="Ttulo31">
    <w:name w:val="Título 31"/>
    <w:basedOn w:val="Normal"/>
    <w:next w:val="Normal"/>
    <w:link w:val="Ttulo3Char"/>
    <w:qFormat/>
    <w:rsid w:val="006314E9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6314E9"/>
    <w:pPr>
      <w:keepNext/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customStyle="1" w:styleId="Ttulo51">
    <w:name w:val="Título 51"/>
    <w:basedOn w:val="Normal"/>
    <w:next w:val="Normal"/>
    <w:link w:val="Ttulo5Char"/>
    <w:qFormat/>
    <w:rsid w:val="006314E9"/>
    <w:p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customStyle="1" w:styleId="Ttulo61">
    <w:name w:val="Título 61"/>
    <w:basedOn w:val="Normal"/>
    <w:next w:val="Normal"/>
    <w:link w:val="Ttulo6Char"/>
    <w:qFormat/>
    <w:rsid w:val="006314E9"/>
    <w:p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customStyle="1" w:styleId="Ttulo71">
    <w:name w:val="Título 71"/>
    <w:basedOn w:val="Normal"/>
    <w:next w:val="Normal"/>
    <w:link w:val="Ttulo7Char"/>
    <w:qFormat/>
    <w:rsid w:val="006314E9"/>
    <w:pPr>
      <w:spacing w:before="240" w:after="60"/>
      <w:outlineLvl w:val="6"/>
    </w:pPr>
    <w:rPr>
      <w:rFonts w:cs="Arial"/>
      <w:szCs w:val="20"/>
      <w:lang w:eastAsia="zh-CN"/>
    </w:rPr>
  </w:style>
  <w:style w:type="paragraph" w:customStyle="1" w:styleId="Ttulo81">
    <w:name w:val="Título 81"/>
    <w:basedOn w:val="Normal"/>
    <w:next w:val="Normal"/>
    <w:link w:val="Ttulo8Char"/>
    <w:qFormat/>
    <w:rsid w:val="006314E9"/>
    <w:pPr>
      <w:spacing w:before="240" w:after="60"/>
      <w:outlineLvl w:val="7"/>
    </w:pPr>
    <w:rPr>
      <w:rFonts w:cs="Arial"/>
      <w:i/>
      <w:szCs w:val="20"/>
      <w:lang w:eastAsia="zh-CN"/>
    </w:rPr>
  </w:style>
  <w:style w:type="paragraph" w:customStyle="1" w:styleId="Ttulo91">
    <w:name w:val="Título 91"/>
    <w:basedOn w:val="Normal"/>
    <w:next w:val="Normal"/>
    <w:link w:val="Ttulo9Char"/>
    <w:qFormat/>
    <w:rsid w:val="006314E9"/>
    <w:p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paragraph" w:customStyle="1" w:styleId="Legenda1">
    <w:name w:val="Legenda1"/>
    <w:basedOn w:val="Normal"/>
    <w:qFormat/>
    <w:rsid w:val="0013700F"/>
    <w:pPr>
      <w:suppressLineNumbers/>
      <w:spacing w:before="120" w:after="120"/>
    </w:pPr>
    <w:rPr>
      <w:rFonts w:cs="Arial"/>
      <w:i/>
      <w:iCs/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  <w:rsid w:val="0013700F"/>
  </w:style>
  <w:style w:type="paragraph" w:customStyle="1" w:styleId="Cabealho1">
    <w:name w:val="Cabeçalho1"/>
    <w:basedOn w:val="Normal"/>
    <w:link w:val="CabealhoChar"/>
    <w:unhideWhenUsed/>
    <w:qFormat/>
    <w:rsid w:val="00DB64EF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qFormat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">
    <w:name w:val="Título4"/>
    <w:basedOn w:val="Ttulo3"/>
    <w:next w:val="Corpodetexto"/>
    <w:qFormat/>
    <w:rsid w:val="006314E9"/>
  </w:style>
  <w:style w:type="paragraph" w:customStyle="1" w:styleId="Ttulo2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tabs>
        <w:tab w:val="left" w:pos="454"/>
        <w:tab w:val="left" w:pos="1134"/>
      </w:tabs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qFormat/>
    <w:rsid w:val="007E56F9"/>
    <w:rPr>
      <w:szCs w:val="20"/>
    </w:rPr>
  </w:style>
  <w:style w:type="paragraph" w:customStyle="1" w:styleId="Normal1">
    <w:name w:val="Normal1"/>
    <w:qFormat/>
    <w:rsid w:val="00A51590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.ibama.gov.br/ctf/publico/certificado_regularidade_consulta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5988-6E70-4B55-8C75-8E3F5387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5347</Words>
  <Characters>28874</Characters>
  <Application>Microsoft Office Word</Application>
  <DocSecurity>0</DocSecurity>
  <Lines>240</Lines>
  <Paragraphs>68</Paragraphs>
  <ScaleCrop>false</ScaleCrop>
  <Company/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Hellen Medeiros</cp:lastModifiedBy>
  <cp:revision>8</cp:revision>
  <cp:lastPrinted>2019-06-11T23:15:00Z</cp:lastPrinted>
  <dcterms:created xsi:type="dcterms:W3CDTF">2021-08-31T13:36:00Z</dcterms:created>
  <dcterms:modified xsi:type="dcterms:W3CDTF">2021-08-31T14:05:00Z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