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12CD8C13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  <w:bookmarkStart w:id="0" w:name="_GoBack"/>
      <w:bookmarkEnd w:id="0"/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159E1D13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 xml:space="preserve">CONTATOS DAS </w:t>
      </w:r>
      <w:proofErr w:type="spellStart"/>
      <w:r w:rsidRPr="00302BDB">
        <w:rPr>
          <w:rFonts w:asciiTheme="minorHAnsi" w:hAnsiTheme="minorHAnsi" w:cstheme="minorHAnsi"/>
          <w:b/>
          <w:sz w:val="22"/>
          <w:szCs w:val="22"/>
        </w:rPr>
        <w:t>UGs</w:t>
      </w:r>
      <w:proofErr w:type="spellEnd"/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15C95F6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4DD0D8E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664A3D8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0BAFE35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383C7920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24738648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0337E242" w:rsidR="00765AA3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FB6869" w14:textId="77777777" w:rsidR="00AA52A0" w:rsidRPr="00302BDB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Niteroi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3"/>
      <w:footerReference w:type="default" r:id="rId24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C44D0" w14:textId="77777777" w:rsidR="000D6A68" w:rsidRDefault="000D6A68" w:rsidP="00195787">
      <w:r>
        <w:separator/>
      </w:r>
    </w:p>
  </w:endnote>
  <w:endnote w:type="continuationSeparator" w:id="0">
    <w:p w14:paraId="4C1AD69C" w14:textId="77777777" w:rsidR="000D6A68" w:rsidRDefault="000D6A68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4C6D6A67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62374E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62374E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029E" w14:textId="77777777" w:rsidR="000D6A68" w:rsidRDefault="000D6A68" w:rsidP="00195787">
      <w:r>
        <w:separator/>
      </w:r>
    </w:p>
  </w:footnote>
  <w:footnote w:type="continuationSeparator" w:id="0">
    <w:p w14:paraId="3720ABB8" w14:textId="77777777" w:rsidR="000D6A68" w:rsidRDefault="000D6A68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4E9CB4A4" w:rsidR="00317E71" w:rsidRPr="00C92EE3" w:rsidRDefault="00AA52A0" w:rsidP="007D1562">
    <w:pPr>
      <w:pStyle w:val="Cabealho"/>
      <w:jc w:val="right"/>
      <w:rPr>
        <w:rFonts w:ascii="Verdana" w:hAnsi="Verdana"/>
        <w:sz w:val="14"/>
        <w:szCs w:val="16"/>
      </w:rPr>
    </w:pPr>
    <w:r w:rsidRPr="00C92EE3">
      <w:rPr>
        <w:rFonts w:ascii="Calibri" w:hAnsi="Calibri"/>
        <w:color w:val="000000"/>
        <w:sz w:val="18"/>
      </w:rPr>
      <w:t>Processo nº 23069.15</w:t>
    </w:r>
    <w:r w:rsidR="0062374E">
      <w:rPr>
        <w:rFonts w:ascii="Calibri" w:hAnsi="Calibri"/>
        <w:color w:val="000000"/>
        <w:sz w:val="18"/>
      </w:rPr>
      <w:t>9548/2021-17</w:t>
    </w:r>
    <w:r w:rsidR="00317E71" w:rsidRPr="00C92EE3">
      <w:rPr>
        <w:rFonts w:ascii="Verdana" w:hAnsi="Verdana"/>
        <w:noProof/>
        <w:sz w:val="14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E71" w:rsidRPr="00C92EE3">
      <w:rPr>
        <w:rFonts w:ascii="Verdana" w:hAnsi="Verdana"/>
        <w:noProof/>
        <w:sz w:val="14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D6A68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664B3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1E7A81"/>
    <w:rsid w:val="001F5562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38EB"/>
    <w:rsid w:val="00275798"/>
    <w:rsid w:val="0027641D"/>
    <w:rsid w:val="002A29F6"/>
    <w:rsid w:val="002A48AB"/>
    <w:rsid w:val="002A62F2"/>
    <w:rsid w:val="002B19D0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40BB"/>
    <w:rsid w:val="00315638"/>
    <w:rsid w:val="00316BC6"/>
    <w:rsid w:val="00317E71"/>
    <w:rsid w:val="0032139D"/>
    <w:rsid w:val="00335697"/>
    <w:rsid w:val="003369A6"/>
    <w:rsid w:val="00337554"/>
    <w:rsid w:val="00345DC9"/>
    <w:rsid w:val="00354957"/>
    <w:rsid w:val="003570DA"/>
    <w:rsid w:val="0037297E"/>
    <w:rsid w:val="003804AE"/>
    <w:rsid w:val="00380C47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3F7F84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29B2"/>
    <w:rsid w:val="00533F3F"/>
    <w:rsid w:val="00561155"/>
    <w:rsid w:val="005807EC"/>
    <w:rsid w:val="005853CE"/>
    <w:rsid w:val="005A0B33"/>
    <w:rsid w:val="005B003B"/>
    <w:rsid w:val="005B345F"/>
    <w:rsid w:val="005B3CB4"/>
    <w:rsid w:val="005C41B6"/>
    <w:rsid w:val="005D6650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2374E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0AD7"/>
    <w:rsid w:val="0072557C"/>
    <w:rsid w:val="007312B8"/>
    <w:rsid w:val="00737A77"/>
    <w:rsid w:val="00741163"/>
    <w:rsid w:val="0074359C"/>
    <w:rsid w:val="007464EA"/>
    <w:rsid w:val="00750831"/>
    <w:rsid w:val="007535D5"/>
    <w:rsid w:val="00754691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A70F5"/>
    <w:rsid w:val="007B50C0"/>
    <w:rsid w:val="007B5459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D1D8F"/>
    <w:rsid w:val="008F3BD8"/>
    <w:rsid w:val="0090037C"/>
    <w:rsid w:val="009023E5"/>
    <w:rsid w:val="00912689"/>
    <w:rsid w:val="00927311"/>
    <w:rsid w:val="009350A3"/>
    <w:rsid w:val="00937A6A"/>
    <w:rsid w:val="00946A34"/>
    <w:rsid w:val="009502A0"/>
    <w:rsid w:val="00951247"/>
    <w:rsid w:val="00973203"/>
    <w:rsid w:val="009A4E8F"/>
    <w:rsid w:val="009A60CB"/>
    <w:rsid w:val="009B0A5A"/>
    <w:rsid w:val="009C1A02"/>
    <w:rsid w:val="009E113C"/>
    <w:rsid w:val="009F2EB2"/>
    <w:rsid w:val="00A05241"/>
    <w:rsid w:val="00A20200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A52A0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2EE3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25E90"/>
    <w:rsid w:val="00E4199B"/>
    <w:rsid w:val="00E44B0C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0C42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B2EB-038A-4A6C-B60D-564C53AD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12</cp:revision>
  <cp:lastPrinted>2020-08-30T05:30:00Z</cp:lastPrinted>
  <dcterms:created xsi:type="dcterms:W3CDTF">2020-08-30T04:03:00Z</dcterms:created>
  <dcterms:modified xsi:type="dcterms:W3CDTF">2021-07-09T17:37:00Z</dcterms:modified>
  <dc:language>pt-BR</dc:language>
</cp:coreProperties>
</file>