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4" w:rsidRDefault="00CE1C0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024" w:rsidRDefault="00CE1C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B6024" w:rsidRDefault="00CE1C0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7F618E">
        <w:rPr>
          <w:rFonts w:ascii="Calibri" w:eastAsia="Calibri" w:hAnsi="Calibri" w:cs="Calibri"/>
          <w:b/>
          <w:color w:val="FF0000"/>
          <w:sz w:val="22"/>
          <w:szCs w:val="22"/>
        </w:rPr>
        <w:t>46</w:t>
      </w:r>
      <w:bookmarkStart w:id="0" w:name="_GoBack"/>
      <w:bookmarkEnd w:id="0"/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8B6024" w:rsidRDefault="008B60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Pr="00552BE6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52BE6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:rsidR="008B6024" w:rsidRPr="00552BE6" w:rsidRDefault="00CE1C00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552BE6">
        <w:rPr>
          <w:rFonts w:ascii="Calibri" w:eastAsia="Calibri" w:hAnsi="Calibri" w:cs="Calibri"/>
          <w:sz w:val="22"/>
          <w:szCs w:val="22"/>
        </w:rPr>
        <w:t>Não houve participantes externos.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B60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6D" w:rsidRDefault="00777F6D">
      <w:r>
        <w:separator/>
      </w:r>
    </w:p>
  </w:endnote>
  <w:endnote w:type="continuationSeparator" w:id="0">
    <w:p w:rsidR="00777F6D" w:rsidRDefault="0077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33A7A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33A7A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6D" w:rsidRDefault="00777F6D">
      <w:r>
        <w:separator/>
      </w:r>
    </w:p>
  </w:footnote>
  <w:footnote w:type="continuationSeparator" w:id="0">
    <w:p w:rsidR="00777F6D" w:rsidRDefault="0077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B6024" w:rsidRPr="00552BE6" w:rsidRDefault="007F6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552BE6">
      <w:rPr>
        <w:noProof/>
      </w:rPr>
      <w:drawing>
        <wp:anchor distT="0" distB="0" distL="114300" distR="114300" simplePos="0" relativeHeight="251658240" behindDoc="0" locked="0" layoutInCell="1" hidden="0" allowOverlap="1" wp14:anchorId="48294027" wp14:editId="718EFFF1">
          <wp:simplePos x="0" y="0"/>
          <wp:positionH relativeFrom="column">
            <wp:posOffset>9525</wp:posOffset>
          </wp:positionH>
          <wp:positionV relativeFrom="paragraph">
            <wp:posOffset>36195</wp:posOffset>
          </wp:positionV>
          <wp:extent cx="581025" cy="304800"/>
          <wp:effectExtent l="0" t="0" r="9525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C00" w:rsidRPr="00552BE6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Pr="007F618E">
      <w:rPr>
        <w:rFonts w:ascii="Verdana" w:eastAsia="Verdana" w:hAnsi="Verdana" w:cs="Verdana"/>
        <w:color w:val="000000"/>
        <w:sz w:val="16"/>
        <w:szCs w:val="16"/>
      </w:rPr>
      <w:t>23069.156278/2021-84</w:t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C72"/>
    <w:multiLevelType w:val="multilevel"/>
    <w:tmpl w:val="3B1E6C8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>
    <w:nsid w:val="3C3F7EB6"/>
    <w:multiLevelType w:val="multilevel"/>
    <w:tmpl w:val="A86A88B4"/>
    <w:lvl w:ilvl="0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2B4A53"/>
    <w:multiLevelType w:val="multilevel"/>
    <w:tmpl w:val="499C3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73EA"/>
    <w:multiLevelType w:val="multilevel"/>
    <w:tmpl w:val="73F2970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A65D6C"/>
    <w:multiLevelType w:val="multilevel"/>
    <w:tmpl w:val="7A2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024"/>
    <w:rsid w:val="00385BBD"/>
    <w:rsid w:val="003977C3"/>
    <w:rsid w:val="00552BE6"/>
    <w:rsid w:val="00777F6D"/>
    <w:rsid w:val="007E48F3"/>
    <w:rsid w:val="007F618E"/>
    <w:rsid w:val="008242D3"/>
    <w:rsid w:val="008B6024"/>
    <w:rsid w:val="008D03BE"/>
    <w:rsid w:val="00B275DE"/>
    <w:rsid w:val="00CE1C00"/>
    <w:rsid w:val="00D224F9"/>
    <w:rsid w:val="00E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2021-05-17T13:30:00Z</cp:lastPrinted>
  <dcterms:created xsi:type="dcterms:W3CDTF">2021-05-17T13:29:00Z</dcterms:created>
  <dcterms:modified xsi:type="dcterms:W3CDTF">2021-05-17T13:30:00Z</dcterms:modified>
</cp:coreProperties>
</file>