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5696" w14:textId="77777777" w:rsidR="00613FAA" w:rsidRDefault="00613FAA">
      <w:pPr>
        <w:spacing w:after="0"/>
        <w:rPr>
          <w:rFonts w:cstheme="minorHAnsi"/>
          <w:sz w:val="18"/>
          <w:szCs w:val="18"/>
        </w:rPr>
      </w:pPr>
    </w:p>
    <w:p w14:paraId="294967A0" w14:textId="41A7B0B9" w:rsidR="00613FAA" w:rsidRPr="0087442B" w:rsidRDefault="0087442B">
      <w:pPr>
        <w:spacing w:after="0"/>
        <w:jc w:val="center"/>
        <w:rPr>
          <w:rFonts w:cstheme="minorHAnsi"/>
          <w:b/>
        </w:rPr>
      </w:pPr>
      <w:r w:rsidRPr="0087442B">
        <w:rPr>
          <w:rFonts w:cstheme="minorHAnsi"/>
          <w:b/>
        </w:rPr>
        <w:t>ANEXO IV</w:t>
      </w:r>
      <w:r w:rsidR="00734303" w:rsidRPr="0087442B">
        <w:rPr>
          <w:rFonts w:cstheme="minorHAnsi"/>
          <w:b/>
        </w:rPr>
        <w:t xml:space="preserve">- INDICE DE MEDIÇÃO DE RESULTADO </w:t>
      </w:r>
      <w:r w:rsidR="00734303" w:rsidRPr="0087442B">
        <w:rPr>
          <w:rFonts w:eastAsia="Arial" w:cstheme="minorHAnsi"/>
          <w:b/>
          <w:bCs/>
        </w:rPr>
        <w:t>(IMR)</w:t>
      </w:r>
    </w:p>
    <w:p w14:paraId="00192245" w14:textId="77777777" w:rsidR="00613FAA" w:rsidRDefault="00613FAA">
      <w:pPr>
        <w:pStyle w:val="PargrafodaLista1"/>
        <w:spacing w:line="276" w:lineRule="auto"/>
        <w:jc w:val="both"/>
        <w:rPr>
          <w:rStyle w:val="Fontepargpadro6"/>
          <w:rFonts w:asciiTheme="minorHAnsi" w:hAnsiTheme="minorHAnsi" w:cstheme="minorHAnsi"/>
          <w:sz w:val="18"/>
          <w:szCs w:val="18"/>
        </w:rPr>
      </w:pPr>
    </w:p>
    <w:p w14:paraId="69C7BE3B" w14:textId="77777777" w:rsidR="0087389D" w:rsidRPr="002E0264" w:rsidRDefault="0087389D" w:rsidP="0087389D">
      <w:pPr>
        <w:keepLines/>
        <w:suppressAutoHyphens/>
        <w:spacing w:before="120" w:after="0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673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Os serviços prestados pela Contratada serão avaliados quanto à produtividade de referência, sendo a mesma expressa através de avaliação mensal. Essa produtividade será analisada através do Indicador de Produção (IMR), que irá avaliar o desempenho e qualidade do serviço de Manutenção Preventiva (IMR-MP) e Tempo de Atendimento da Manutenção Corretiva/Emergencial (IMR-T), ambos prestado pela Contratada.</w:t>
      </w:r>
    </w:p>
    <w:p w14:paraId="7B61FD71" w14:textId="77777777" w:rsidR="0087389D" w:rsidRPr="00286736" w:rsidRDefault="0087389D" w:rsidP="0087389D">
      <w:pPr>
        <w:keepLines/>
        <w:spacing w:before="120"/>
        <w:ind w:right="-28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843"/>
        <w:gridCol w:w="8080"/>
      </w:tblGrid>
      <w:tr w:rsidR="0087389D" w:rsidRPr="00286736" w14:paraId="6270B89D" w14:textId="77777777" w:rsidTr="0087389D"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17365D"/>
            <w:vAlign w:val="center"/>
          </w:tcPr>
          <w:p w14:paraId="7944E0CB" w14:textId="77777777" w:rsidR="0087389D" w:rsidRPr="00286736" w:rsidRDefault="0087389D" w:rsidP="00836F7F">
            <w:pPr>
              <w:pStyle w:val="PargrafodaLista"/>
              <w:spacing w:after="120"/>
              <w:ind w:left="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INSTRUMENTO DE MEDIÇÃO DE RESULTADOS (IMR-MP)</w:t>
            </w:r>
          </w:p>
        </w:tc>
      </w:tr>
      <w:tr w:rsidR="0087389D" w:rsidRPr="00286736" w14:paraId="2D503DBF" w14:textId="77777777" w:rsidTr="0087389D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675C65" w14:textId="77777777" w:rsidR="0087389D" w:rsidRPr="00286736" w:rsidRDefault="0087389D" w:rsidP="00836F7F">
            <w:pPr>
              <w:pStyle w:val="PargrafodaLista"/>
              <w:spacing w:after="120"/>
              <w:ind w:left="0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Escopo Indicador: </w:t>
            </w: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Manutenção Preventiva de Subestação Abrigada e em Poste (IMR-MP).</w:t>
            </w:r>
          </w:p>
        </w:tc>
      </w:tr>
      <w:tr w:rsidR="0087389D" w:rsidRPr="00286736" w14:paraId="374AA2A1" w14:textId="77777777" w:rsidTr="0087389D"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5DA4EC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8CD815" w14:textId="77777777" w:rsidR="0087389D" w:rsidRPr="00286736" w:rsidRDefault="0087389D" w:rsidP="00836F7F">
            <w:pPr>
              <w:pStyle w:val="PargrafodaLista"/>
              <w:spacing w:after="120"/>
              <w:ind w:left="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Finalidade</w:t>
            </w:r>
          </w:p>
        </w:tc>
      </w:tr>
      <w:tr w:rsidR="0087389D" w:rsidRPr="00286736" w14:paraId="09DA2FA2" w14:textId="77777777" w:rsidTr="0087389D">
        <w:trPr>
          <w:trHeight w:val="997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4DBDD9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Finalidade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12FC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Cumprimento dos serviços de Manutenção Preventiva, relacionados no Termo de Referência e nas Especificações Técnicas, conforme rotinas estabelecidas pela Fiscalização. </w:t>
            </w:r>
          </w:p>
        </w:tc>
      </w:tr>
      <w:tr w:rsidR="0087389D" w:rsidRPr="00286736" w14:paraId="7B98CED6" w14:textId="77777777" w:rsidTr="0087389D">
        <w:trPr>
          <w:trHeight w:val="416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62046A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Meta a cumprir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1094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 dos serviços solicitados nas Ordens de Serviço emitidas.</w:t>
            </w:r>
          </w:p>
        </w:tc>
      </w:tr>
      <w:tr w:rsidR="0087389D" w:rsidRPr="00286736" w14:paraId="1F7DC1C7" w14:textId="77777777" w:rsidTr="0087389D">
        <w:trPr>
          <w:trHeight w:val="694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43D61D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Instrumento de medição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9DF71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Ordens de Serviço.</w:t>
            </w:r>
          </w:p>
        </w:tc>
      </w:tr>
      <w:tr w:rsidR="0087389D" w:rsidRPr="00286736" w14:paraId="3A9A0BAE" w14:textId="77777777" w:rsidTr="0087389D">
        <w:trPr>
          <w:trHeight w:val="689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7FACF6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Forma de acompanhamento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1FA6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Através das Ordens de Serviço abertas e concluídas dentro do período de referência, devidamente avaliadas pela Fiscalização. </w:t>
            </w:r>
          </w:p>
        </w:tc>
      </w:tr>
      <w:tr w:rsidR="0087389D" w:rsidRPr="00286736" w14:paraId="2A47DCA9" w14:textId="77777777" w:rsidTr="0087389D">
        <w:trPr>
          <w:trHeight w:val="41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BEED06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Periodicidade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7DEB7" w14:textId="77777777" w:rsidR="0087389D" w:rsidRPr="00286736" w:rsidRDefault="0087389D" w:rsidP="00836F7F">
            <w:pPr>
              <w:pStyle w:val="PargrafodaList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Subestação - Mensal</w:t>
            </w:r>
          </w:p>
        </w:tc>
      </w:tr>
      <w:tr w:rsidR="0087389D" w:rsidRPr="00286736" w14:paraId="06F7B135" w14:textId="77777777" w:rsidTr="0087389D">
        <w:trPr>
          <w:trHeight w:val="1402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E9127E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Mecanismo de cálculo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301D" w14:textId="77777777" w:rsidR="0087389D" w:rsidRPr="00286736" w:rsidRDefault="0087389D" w:rsidP="00836F7F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87D6ED3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% </w:t>
            </w: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de Serviços Concluídos dentro do mês de referência </w:t>
            </w:r>
          </w:p>
          <w:p w14:paraId="0F116787" w14:textId="77777777" w:rsidR="0087389D" w:rsidRPr="00286736" w:rsidRDefault="0087389D" w:rsidP="00836F7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44E5" wp14:editId="0E34C45C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5080</wp:posOffset>
                      </wp:positionV>
                      <wp:extent cx="94615" cy="441960"/>
                      <wp:effectExtent l="19050" t="19050" r="635" b="1524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4615" cy="441960"/>
                              </a:xfrm>
                              <a:prstGeom prst="leftBrace">
                                <a:avLst>
                                  <a:gd name="adj1" fmla="val 38926"/>
                                  <a:gd name="adj2" fmla="val 5000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CB16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322.85pt;margin-top:.4pt;width:7.45pt;height:34.8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DB59F" wp14:editId="3B0D511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128905</wp:posOffset>
                      </wp:positionV>
                      <wp:extent cx="152400" cy="371475"/>
                      <wp:effectExtent l="38100" t="19050" r="19050" b="2857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71475"/>
                              </a:xfrm>
                              <a:prstGeom prst="leftBrace">
                                <a:avLst>
                                  <a:gd name="adj1" fmla="val 20312"/>
                                  <a:gd name="adj2" fmla="val 5000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99943" id="AutoShape 3" o:spid="_x0000_s1026" type="#_x0000_t87" style="position:absolute;margin-left:3.95pt;margin-top:10.15pt;width:12pt;height:29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" strokeweight=".26mm">
                      <v:stroke joinstyle="miter" endcap="square"/>
                    </v:shape>
                  </w:pict>
                </mc:Fallback>
              </mc:AlternateContent>
            </w:r>
          </w:p>
          <w:p w14:paraId="29BD5579" w14:textId="77777777" w:rsidR="0087389D" w:rsidRPr="00286736" w:rsidRDefault="0087389D" w:rsidP="00836F7F">
            <w:pPr>
              <w:autoSpaceDE w:val="0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=    </w:t>
            </w: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Σ Total de Serviços Concluídos no Mês de Referência</w:t>
            </w: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X 100</w:t>
            </w:r>
          </w:p>
          <w:p w14:paraId="5F84DBF8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Σ Total de Serviços Estabelecidos para o Mês de Referência</w:t>
            </w:r>
          </w:p>
        </w:tc>
      </w:tr>
      <w:tr w:rsidR="0087389D" w:rsidRPr="00286736" w14:paraId="6739642F" w14:textId="77777777" w:rsidTr="0087389D">
        <w:trPr>
          <w:trHeight w:val="557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55F83F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Inicio</w:t>
            </w:r>
            <w:proofErr w:type="spellEnd"/>
            <w:proofErr w:type="gramEnd"/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da vigência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1795A" w14:textId="77777777" w:rsidR="0087389D" w:rsidRPr="00286736" w:rsidRDefault="0087389D" w:rsidP="00836F7F">
            <w:pPr>
              <w:pStyle w:val="PargrafodaList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 dias após a emissão da Ordem de Início dos Serviços. </w:t>
            </w:r>
          </w:p>
        </w:tc>
      </w:tr>
      <w:tr w:rsidR="0087389D" w:rsidRPr="00286736" w14:paraId="2C6C5AEE" w14:textId="77777777" w:rsidTr="0087389D">
        <w:trPr>
          <w:trHeight w:val="977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C54DE5" w14:textId="77777777" w:rsidR="0087389D" w:rsidRPr="00286736" w:rsidRDefault="0087389D" w:rsidP="00836F7F">
            <w:pPr>
              <w:autoSpaceDE w:val="0"/>
              <w:ind w:right="-5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Faixas de ajuste no pagamento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1677" w14:textId="77777777" w:rsidR="0087389D" w:rsidRPr="00286736" w:rsidRDefault="0087389D" w:rsidP="00836F7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Faixa 01 – IMR de 90% a 100% = 0% de desconto na fatura. </w:t>
            </w:r>
          </w:p>
          <w:p w14:paraId="084CCFFD" w14:textId="77777777" w:rsidR="0087389D" w:rsidRPr="00286736" w:rsidRDefault="0087389D" w:rsidP="00836F7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Faixa 02 – IMR de 80% a 89% = 2% de desconto </w:t>
            </w:r>
            <w:proofErr w:type="spellStart"/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</w:t>
            </w:r>
            <w:proofErr w:type="spellEnd"/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fatura.</w:t>
            </w:r>
          </w:p>
          <w:p w14:paraId="05D3E106" w14:textId="77777777" w:rsidR="0087389D" w:rsidRPr="00286736" w:rsidRDefault="0087389D" w:rsidP="00836F7F">
            <w:pPr>
              <w:pStyle w:val="PargrafodaList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Faixa 03 – IMT de 60% a 79% = 4% de desconto </w:t>
            </w:r>
            <w:proofErr w:type="spellStart"/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</w:t>
            </w:r>
            <w:proofErr w:type="spellEnd"/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fatura. </w:t>
            </w:r>
          </w:p>
        </w:tc>
      </w:tr>
      <w:tr w:rsidR="0087389D" w:rsidRPr="00286736" w14:paraId="60740870" w14:textId="77777777" w:rsidTr="0087389D">
        <w:trPr>
          <w:trHeight w:val="567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E91555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Sanção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328D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Abaixo de 60% dos serviços – Sanções conforme Termo de Referência.</w:t>
            </w:r>
          </w:p>
        </w:tc>
      </w:tr>
      <w:tr w:rsidR="0087389D" w:rsidRPr="00286736" w14:paraId="55B6C774" w14:textId="77777777" w:rsidTr="0087389D">
        <w:trPr>
          <w:trHeight w:val="985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7499E3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Observações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07434" w14:textId="77777777" w:rsidR="0087389D" w:rsidRPr="00286736" w:rsidRDefault="0087389D" w:rsidP="00836F7F">
            <w:pPr>
              <w:pStyle w:val="PargrafodaList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Os serviços medidos para fins de avaliaç</w:t>
            </w:r>
            <w:r w:rsidRPr="00286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ã</w:t>
            </w: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 do Indicador de Produção estarão concentrados no somatório das Manutenções Preventivas das Subestações de energia Abrigadas e em Poste. </w:t>
            </w:r>
          </w:p>
        </w:tc>
      </w:tr>
    </w:tbl>
    <w:p w14:paraId="600EA1CD" w14:textId="77777777" w:rsidR="0087389D" w:rsidRPr="00286736" w:rsidRDefault="0087389D" w:rsidP="0087389D">
      <w:pPr>
        <w:keepLines/>
        <w:spacing w:before="1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235"/>
        <w:gridCol w:w="7688"/>
      </w:tblGrid>
      <w:tr w:rsidR="0087389D" w:rsidRPr="00286736" w14:paraId="4DA0EBCE" w14:textId="77777777" w:rsidTr="0087389D"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17365D"/>
            <w:vAlign w:val="center"/>
          </w:tcPr>
          <w:p w14:paraId="2C622E8F" w14:textId="77777777" w:rsidR="0087389D" w:rsidRPr="00286736" w:rsidRDefault="0087389D" w:rsidP="00836F7F">
            <w:pPr>
              <w:pStyle w:val="PargrafodaLista"/>
              <w:spacing w:after="120"/>
              <w:ind w:left="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INSTRUMENTO DE MEDIÇÃO DE RESULTADOS (IMR-T)</w:t>
            </w:r>
          </w:p>
        </w:tc>
      </w:tr>
      <w:tr w:rsidR="0087389D" w:rsidRPr="00286736" w14:paraId="0E4CACB8" w14:textId="77777777" w:rsidTr="0087389D">
        <w:trPr>
          <w:trHeight w:val="573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831F18" w14:textId="77777777" w:rsidR="0087389D" w:rsidRPr="00286736" w:rsidRDefault="0087389D" w:rsidP="00836F7F">
            <w:pPr>
              <w:pStyle w:val="PargrafodaLista"/>
              <w:spacing w:after="120"/>
              <w:ind w:left="0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Escopo Indicador: </w:t>
            </w: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Tempo de Atendimento à Manutenção Corretiva sob demanda (IMR-T).</w:t>
            </w:r>
          </w:p>
        </w:tc>
      </w:tr>
      <w:tr w:rsidR="0087389D" w:rsidRPr="00286736" w14:paraId="5F348777" w14:textId="77777777" w:rsidTr="0087389D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8ACFE2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55DE0E" w14:textId="77777777" w:rsidR="0087389D" w:rsidRPr="00286736" w:rsidRDefault="0087389D" w:rsidP="00836F7F">
            <w:pPr>
              <w:pStyle w:val="PargrafodaLista"/>
              <w:spacing w:after="120"/>
              <w:ind w:left="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Finalidade</w:t>
            </w:r>
          </w:p>
        </w:tc>
      </w:tr>
      <w:tr w:rsidR="0087389D" w:rsidRPr="00286736" w14:paraId="708F60FB" w14:textId="77777777" w:rsidTr="0087389D">
        <w:trPr>
          <w:trHeight w:val="458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DCBE6" w14:textId="77777777" w:rsidR="0087389D" w:rsidRPr="00286736" w:rsidRDefault="0087389D" w:rsidP="00836F7F">
            <w:pPr>
              <w:pStyle w:val="PargrafodaLista"/>
              <w:spacing w:after="120"/>
              <w:ind w:left="0" w:righ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Finalidade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376E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Garantir o atendimento imediato à demanda emergencial solicitada.  </w:t>
            </w:r>
          </w:p>
        </w:tc>
      </w:tr>
      <w:tr w:rsidR="0087389D" w:rsidRPr="00286736" w14:paraId="7D7A6324" w14:textId="77777777" w:rsidTr="0087389D">
        <w:trPr>
          <w:trHeight w:val="536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887E36" w14:textId="77777777" w:rsidR="0087389D" w:rsidRPr="00286736" w:rsidRDefault="0087389D" w:rsidP="00836F7F">
            <w:pPr>
              <w:pStyle w:val="PargrafodaLista"/>
              <w:spacing w:after="120"/>
              <w:ind w:left="142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Meta a cumprir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EAF5D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02 Horas. </w:t>
            </w:r>
          </w:p>
        </w:tc>
      </w:tr>
      <w:tr w:rsidR="0087389D" w:rsidRPr="00286736" w14:paraId="58C02C3C" w14:textId="77777777" w:rsidTr="0087389D">
        <w:trPr>
          <w:trHeight w:val="714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3A4C8B" w14:textId="77777777" w:rsidR="0087389D" w:rsidRPr="00286736" w:rsidRDefault="0087389D" w:rsidP="00836F7F">
            <w:pPr>
              <w:pStyle w:val="PargrafodaLista"/>
              <w:spacing w:after="120"/>
              <w:ind w:left="142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Instrumento de medição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630F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Ordens de Serviço Aberto com escopo de Corretiva/Emergência. </w:t>
            </w:r>
          </w:p>
        </w:tc>
      </w:tr>
      <w:tr w:rsidR="0087389D" w:rsidRPr="00286736" w14:paraId="51D638AD" w14:textId="77777777" w:rsidTr="0087389D">
        <w:trPr>
          <w:trHeight w:val="838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6DE851" w14:textId="77777777" w:rsidR="0087389D" w:rsidRPr="00286736" w:rsidRDefault="0087389D" w:rsidP="00836F7F">
            <w:pPr>
              <w:pStyle w:val="PargrafodaLista"/>
              <w:spacing w:after="120"/>
              <w:ind w:left="142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Forma de acompanhamento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64232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Através das Ordens de Serviço abertas e concluídas dentro do tempo de referência, devidamente avaliada pela Fiscalização. </w:t>
            </w:r>
          </w:p>
        </w:tc>
      </w:tr>
      <w:tr w:rsidR="0087389D" w:rsidRPr="00286736" w14:paraId="277EB916" w14:textId="77777777" w:rsidTr="0087389D">
        <w:trPr>
          <w:trHeight w:val="693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492DC0" w14:textId="77777777" w:rsidR="0087389D" w:rsidRPr="00286736" w:rsidRDefault="0087389D" w:rsidP="00836F7F">
            <w:pPr>
              <w:pStyle w:val="PargrafodaLista"/>
              <w:spacing w:after="120"/>
              <w:ind w:left="142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Periodicidade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CDD9D" w14:textId="77777777" w:rsidR="0087389D" w:rsidRPr="00286736" w:rsidRDefault="0087389D" w:rsidP="00836F7F">
            <w:pPr>
              <w:pStyle w:val="PargrafodaList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Condicionado a ocorrência de ação Corretiva ou emergencial em Subestação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406E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>Cabine de proteção, Rede e</w:t>
            </w: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Poste de Transmissão. Evento Sob Demanda. </w:t>
            </w:r>
          </w:p>
        </w:tc>
      </w:tr>
      <w:tr w:rsidR="0087389D" w:rsidRPr="00286736" w14:paraId="0E0DF9EC" w14:textId="77777777" w:rsidTr="0087389D">
        <w:trPr>
          <w:trHeight w:val="703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8F4DF2" w14:textId="77777777" w:rsidR="0087389D" w:rsidRPr="00286736" w:rsidRDefault="0087389D" w:rsidP="00836F7F">
            <w:pPr>
              <w:pStyle w:val="PargrafodaLista"/>
              <w:spacing w:after="120"/>
              <w:ind w:left="142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Mecanismo de cálculo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E054B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Tempo de Atendimento da Ocorrência. </w:t>
            </w:r>
          </w:p>
        </w:tc>
      </w:tr>
      <w:tr w:rsidR="0087389D" w:rsidRPr="00286736" w14:paraId="4B1EEE2E" w14:textId="77777777" w:rsidTr="0087389D">
        <w:trPr>
          <w:trHeight w:val="557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3986F6" w14:textId="77777777" w:rsidR="0087389D" w:rsidRPr="00286736" w:rsidRDefault="0087389D" w:rsidP="00836F7F">
            <w:pPr>
              <w:pStyle w:val="PargrafodaLista"/>
              <w:spacing w:after="120"/>
              <w:ind w:left="142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Inicio</w:t>
            </w:r>
            <w:proofErr w:type="spellEnd"/>
            <w:proofErr w:type="gramEnd"/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da vigência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55FF" w14:textId="77777777" w:rsidR="0087389D" w:rsidRPr="00286736" w:rsidRDefault="0087389D" w:rsidP="00836F7F">
            <w:pPr>
              <w:pStyle w:val="PargrafodaList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Imediatamente após a assinatura do Contrato. </w:t>
            </w:r>
          </w:p>
        </w:tc>
      </w:tr>
      <w:tr w:rsidR="0087389D" w:rsidRPr="00286736" w14:paraId="39F604F5" w14:textId="77777777" w:rsidTr="0087389D">
        <w:trPr>
          <w:trHeight w:val="976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A42CAE" w14:textId="77777777" w:rsidR="0087389D" w:rsidRPr="00286736" w:rsidRDefault="0087389D" w:rsidP="00836F7F">
            <w:pPr>
              <w:autoSpaceDE w:val="0"/>
              <w:ind w:left="142" w:right="-5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Faixas de ajuste no pagamento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0479" w14:textId="77777777" w:rsidR="0087389D" w:rsidRPr="00286736" w:rsidRDefault="0087389D" w:rsidP="00836F7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Faixa 01 – T ≤3h - 0% de desconto na fatura. </w:t>
            </w:r>
          </w:p>
          <w:p w14:paraId="28DF7A23" w14:textId="77777777" w:rsidR="0087389D" w:rsidRPr="00286736" w:rsidRDefault="0087389D" w:rsidP="00836F7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Faixa 02 – 3h ≤ T ≤ 4h = 2% de desconto </w:t>
            </w:r>
            <w:proofErr w:type="spellStart"/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</w:t>
            </w:r>
            <w:proofErr w:type="spellEnd"/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fatura.</w:t>
            </w:r>
          </w:p>
          <w:p w14:paraId="205D64F0" w14:textId="77777777" w:rsidR="0087389D" w:rsidRPr="00286736" w:rsidRDefault="0087389D" w:rsidP="00836F7F">
            <w:pPr>
              <w:pStyle w:val="PargrafodaList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Faixa 03 – T≥ 4h = 4% de desconto </w:t>
            </w:r>
            <w:proofErr w:type="spellStart"/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</w:t>
            </w:r>
            <w:proofErr w:type="spellEnd"/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fatura. </w:t>
            </w:r>
          </w:p>
        </w:tc>
      </w:tr>
      <w:tr w:rsidR="0087389D" w:rsidRPr="00286736" w14:paraId="1A1855F5" w14:textId="77777777" w:rsidTr="0087389D">
        <w:trPr>
          <w:trHeight w:val="693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290691" w14:textId="77777777" w:rsidR="0087389D" w:rsidRPr="00286736" w:rsidRDefault="0087389D" w:rsidP="00836F7F">
            <w:pPr>
              <w:pStyle w:val="PargrafodaLista"/>
              <w:spacing w:after="120"/>
              <w:ind w:left="142" w:right="-53"/>
              <w:jc w:val="left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Sanção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DC12A" w14:textId="77777777" w:rsidR="0087389D" w:rsidRPr="00286736" w:rsidRDefault="0087389D" w:rsidP="00836F7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 o T≥ 4h por duas ocorrências seguidas, aplicar sanção conforme Termo de Referência.</w:t>
            </w:r>
          </w:p>
        </w:tc>
      </w:tr>
      <w:tr w:rsidR="0087389D" w:rsidRPr="00286736" w14:paraId="5CE413D2" w14:textId="77777777" w:rsidTr="0087389D">
        <w:trPr>
          <w:trHeight w:val="986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A6487C" w14:textId="77777777" w:rsidR="0087389D" w:rsidRPr="00286736" w:rsidRDefault="0087389D" w:rsidP="00836F7F">
            <w:pPr>
              <w:pStyle w:val="PargrafodaLista"/>
              <w:spacing w:after="120"/>
              <w:ind w:left="142" w:right="-5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6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Observações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8488" w14:textId="77777777" w:rsidR="0087389D" w:rsidRPr="00286736" w:rsidRDefault="0087389D" w:rsidP="00836F7F">
            <w:pPr>
              <w:pStyle w:val="PargrafodaList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Os serviços medidos para fins de avaliaç</w:t>
            </w:r>
            <w:r w:rsidRPr="00286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ã</w:t>
            </w:r>
            <w:r w:rsidRPr="002867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 do Indicador de Produção estarão concentrados no Tempo (T) de atendimento às ocorrências de manutenções corretivas/emergenciais, que serão realizadas sob demanda. </w:t>
            </w:r>
          </w:p>
        </w:tc>
      </w:tr>
    </w:tbl>
    <w:p w14:paraId="2AA07C27" w14:textId="77777777" w:rsidR="0087389D" w:rsidRDefault="0087389D">
      <w:pPr>
        <w:rPr>
          <w:rFonts w:cstheme="minorHAnsi"/>
          <w:color w:val="FF0000"/>
          <w:sz w:val="20"/>
          <w:szCs w:val="20"/>
        </w:rPr>
      </w:pPr>
    </w:p>
    <w:p w14:paraId="1240BD51" w14:textId="5612CF1D" w:rsidR="00613FAA" w:rsidRPr="0087442B" w:rsidRDefault="00734303">
      <w:pPr>
        <w:rPr>
          <w:rFonts w:cstheme="minorHAnsi"/>
          <w:sz w:val="20"/>
          <w:szCs w:val="20"/>
        </w:rPr>
      </w:pPr>
      <w:r w:rsidRPr="0087442B">
        <w:rPr>
          <w:rFonts w:cstheme="minorHAnsi"/>
          <w:color w:val="FF0000"/>
          <w:sz w:val="20"/>
          <w:szCs w:val="20"/>
        </w:rPr>
        <w:t xml:space="preserve">Niterói, </w:t>
      </w:r>
      <w:r w:rsidR="00EB7ED1">
        <w:rPr>
          <w:rFonts w:cstheme="minorHAnsi"/>
          <w:color w:val="FF0000"/>
          <w:sz w:val="20"/>
          <w:szCs w:val="20"/>
        </w:rPr>
        <w:t>31</w:t>
      </w:r>
      <w:r w:rsidRPr="0087442B">
        <w:rPr>
          <w:rFonts w:cstheme="minorHAnsi"/>
          <w:color w:val="FF0000"/>
          <w:sz w:val="20"/>
          <w:szCs w:val="20"/>
        </w:rPr>
        <w:t xml:space="preserve"> de </w:t>
      </w:r>
      <w:r w:rsidR="00EB7ED1">
        <w:rPr>
          <w:rFonts w:cstheme="minorHAnsi"/>
          <w:color w:val="FF0000"/>
          <w:sz w:val="20"/>
          <w:szCs w:val="20"/>
        </w:rPr>
        <w:t>março</w:t>
      </w:r>
      <w:r w:rsidRPr="0087442B">
        <w:rPr>
          <w:rFonts w:cstheme="minorHAnsi"/>
          <w:color w:val="FF0000"/>
          <w:sz w:val="20"/>
          <w:szCs w:val="20"/>
        </w:rPr>
        <w:t xml:space="preserve"> de 20</w:t>
      </w:r>
      <w:r w:rsidR="00EB7ED1">
        <w:rPr>
          <w:rFonts w:cstheme="minorHAnsi"/>
          <w:color w:val="FF0000"/>
          <w:sz w:val="20"/>
          <w:szCs w:val="20"/>
        </w:rPr>
        <w:t>20</w:t>
      </w:r>
      <w:r w:rsidRPr="0087442B">
        <w:rPr>
          <w:rFonts w:cstheme="minorHAnsi"/>
          <w:sz w:val="20"/>
          <w:szCs w:val="20"/>
        </w:rPr>
        <w:t>.</w:t>
      </w:r>
    </w:p>
    <w:p w14:paraId="58AB7F87" w14:textId="77777777" w:rsidR="00613FAA" w:rsidRDefault="00613FAA">
      <w:pPr>
        <w:rPr>
          <w:rFonts w:cstheme="minorHAnsi"/>
          <w:sz w:val="18"/>
          <w:szCs w:val="18"/>
        </w:rPr>
      </w:pPr>
    </w:p>
    <w:p w14:paraId="4648333D" w14:textId="77777777" w:rsidR="00613FAA" w:rsidRDefault="00613FAA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2B24D510" w14:textId="77777777" w:rsidR="00EB7ED1" w:rsidRPr="00BE563D" w:rsidRDefault="00EB7ED1" w:rsidP="00EB7ED1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3F0EA3CD" w14:textId="4722FF61" w:rsidR="00EB7ED1" w:rsidRPr="00465E73" w:rsidRDefault="00EB7ED1" w:rsidP="00EB7ED1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[Assinatura]</w:t>
      </w:r>
    </w:p>
    <w:p w14:paraId="5AE272CA" w14:textId="77777777" w:rsidR="00613FAA" w:rsidRDefault="00613FAA">
      <w:pPr>
        <w:rPr>
          <w:rFonts w:cstheme="minorHAnsi"/>
          <w:sz w:val="18"/>
          <w:szCs w:val="18"/>
        </w:rPr>
      </w:pPr>
    </w:p>
    <w:sectPr w:rsidR="00613FAA" w:rsidSect="0087389D">
      <w:headerReference w:type="default" r:id="rId7"/>
      <w:pgSz w:w="11906" w:h="16838"/>
      <w:pgMar w:top="1417" w:right="1558" w:bottom="1417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AE07B" w14:textId="77777777" w:rsidR="004B7AC8" w:rsidRDefault="004B7AC8">
      <w:pPr>
        <w:spacing w:after="0" w:line="240" w:lineRule="auto"/>
      </w:pPr>
      <w:r>
        <w:separator/>
      </w:r>
    </w:p>
  </w:endnote>
  <w:endnote w:type="continuationSeparator" w:id="0">
    <w:p w14:paraId="2B8B614F" w14:textId="77777777" w:rsidR="004B7AC8" w:rsidRDefault="004B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939B7" w14:textId="77777777" w:rsidR="004B7AC8" w:rsidRDefault="004B7AC8">
      <w:pPr>
        <w:spacing w:after="0" w:line="240" w:lineRule="auto"/>
      </w:pPr>
      <w:r>
        <w:separator/>
      </w:r>
    </w:p>
  </w:footnote>
  <w:footnote w:type="continuationSeparator" w:id="0">
    <w:p w14:paraId="1E6D56E1" w14:textId="77777777" w:rsidR="004B7AC8" w:rsidRDefault="004B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76" w:type="dxa"/>
      <w:tblLayout w:type="fixed"/>
      <w:tblLook w:val="0000" w:firstRow="0" w:lastRow="0" w:firstColumn="0" w:lastColumn="0" w:noHBand="0" w:noVBand="0"/>
    </w:tblPr>
    <w:tblGrid>
      <w:gridCol w:w="7230"/>
      <w:gridCol w:w="3544"/>
    </w:tblGrid>
    <w:tr w:rsidR="0087442B" w:rsidRPr="00541683" w14:paraId="060C2D10" w14:textId="77777777" w:rsidTr="007517BD">
      <w:trPr>
        <w:cantSplit/>
        <w:trHeight w:val="1837"/>
      </w:trPr>
      <w:tc>
        <w:tcPr>
          <w:tcW w:w="7230" w:type="dxa"/>
          <w:shd w:val="clear" w:color="auto" w:fill="auto"/>
          <w:vAlign w:val="bottom"/>
        </w:tcPr>
        <w:p w14:paraId="76157BB6" w14:textId="77777777" w:rsidR="0087442B" w:rsidRPr="00A02FDC" w:rsidRDefault="0087442B" w:rsidP="0087442B">
          <w:pPr>
            <w:pStyle w:val="Cabealho"/>
            <w:ind w:right="34"/>
            <w:rPr>
              <w:rFonts w:ascii="Cambria" w:eastAsia="Calibri" w:hAnsi="Cambria" w:cs="Cambria"/>
              <w:b/>
              <w:color w:val="17365D" w:themeColor="text2" w:themeShade="BF"/>
              <w:szCs w:val="24"/>
            </w:rPr>
          </w:pPr>
          <w:r w:rsidRPr="000D1EF9">
            <w:rPr>
              <w:rFonts w:ascii="Cambria" w:eastAsia="Calibri" w:hAnsi="Cambria" w:cs="Cambria"/>
              <w:b/>
              <w:noProof/>
              <w:color w:val="17365D" w:themeColor="text2" w:themeShade="BF"/>
              <w:szCs w:val="24"/>
            </w:rPr>
            <w:drawing>
              <wp:anchor distT="0" distB="0" distL="114300" distR="114300" simplePos="0" relativeHeight="251659264" behindDoc="0" locked="0" layoutInCell="1" allowOverlap="1" wp14:anchorId="1C297A15" wp14:editId="7E3D451A">
                <wp:simplePos x="0" y="0"/>
                <wp:positionH relativeFrom="column">
                  <wp:posOffset>10160</wp:posOffset>
                </wp:positionH>
                <wp:positionV relativeFrom="paragraph">
                  <wp:posOffset>-409575</wp:posOffset>
                </wp:positionV>
                <wp:extent cx="1076325" cy="352425"/>
                <wp:effectExtent l="19050" t="0" r="9525" b="0"/>
                <wp:wrapNone/>
                <wp:docPr id="2" name="Imagem 2" descr="http://www.petroleo.uff.br/sites/default/files/uf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etroleo.uff.br/sites/default/files/uf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02FDC">
            <w:rPr>
              <w:rFonts w:ascii="Cambria" w:eastAsia="Calibri" w:hAnsi="Cambria" w:cs="Cambria"/>
              <w:b/>
              <w:color w:val="17365D" w:themeColor="text2" w:themeShade="BF"/>
              <w:szCs w:val="24"/>
            </w:rPr>
            <w:t>UNIVERSIDADE FEDERAL FLUMINENSE</w:t>
          </w:r>
          <w:r>
            <w:rPr>
              <w:rFonts w:ascii="Cambria" w:eastAsia="Calibri" w:hAnsi="Cambria" w:cs="Cambria"/>
              <w:b/>
              <w:color w:val="17365D" w:themeColor="text2" w:themeShade="BF"/>
              <w:szCs w:val="24"/>
            </w:rPr>
            <w:t xml:space="preserve"> - UFF</w:t>
          </w:r>
        </w:p>
        <w:p w14:paraId="3137D913" w14:textId="77777777" w:rsidR="0087442B" w:rsidRDefault="0087442B" w:rsidP="0087442B">
          <w:pPr>
            <w:pStyle w:val="Cabealho"/>
            <w:ind w:right="34"/>
            <w:rPr>
              <w:rFonts w:ascii="Cambria" w:eastAsia="Calibri" w:hAnsi="Cambria" w:cs="Cambria"/>
              <w:b/>
              <w:color w:val="17365D" w:themeColor="text2" w:themeShade="BF"/>
              <w:szCs w:val="24"/>
            </w:rPr>
          </w:pPr>
          <w:r w:rsidRPr="00A02FDC">
            <w:rPr>
              <w:rFonts w:ascii="Cambria" w:eastAsia="Calibri" w:hAnsi="Cambria" w:cs="Cambria"/>
              <w:b/>
              <w:color w:val="17365D" w:themeColor="text2" w:themeShade="BF"/>
              <w:szCs w:val="24"/>
            </w:rPr>
            <w:t>SUPERINTENDÊNCIA</w:t>
          </w:r>
          <w:r>
            <w:rPr>
              <w:rFonts w:ascii="Cambria" w:eastAsia="Calibri" w:hAnsi="Cambria" w:cs="Cambria"/>
              <w:b/>
              <w:color w:val="17365D" w:themeColor="text2" w:themeShade="BF"/>
              <w:szCs w:val="24"/>
            </w:rPr>
            <w:t xml:space="preserve"> DE OPERAÇÕES E MANUTENÇÃO - SOMA</w:t>
          </w:r>
        </w:p>
        <w:p w14:paraId="468F6D5E" w14:textId="77777777" w:rsidR="0087442B" w:rsidRPr="00782529" w:rsidRDefault="0087442B" w:rsidP="0087442B">
          <w:pPr>
            <w:pStyle w:val="Cabealho"/>
            <w:ind w:right="34"/>
            <w:rPr>
              <w:rFonts w:ascii="Cambria" w:eastAsia="Calibri" w:hAnsi="Cambria" w:cs="Cambria"/>
              <w:color w:val="17365D" w:themeColor="text2" w:themeShade="BF"/>
              <w:sz w:val="20"/>
            </w:rPr>
          </w:pPr>
          <w:r w:rsidRPr="00782529">
            <w:rPr>
              <w:rFonts w:ascii="Cambria" w:eastAsia="Calibri" w:hAnsi="Cambria" w:cs="Cambria"/>
              <w:color w:val="17365D" w:themeColor="text2" w:themeShade="BF"/>
              <w:sz w:val="20"/>
            </w:rPr>
            <w:t>Rua Prof. Marcos Waldemar de Freitas Reis s/nº, bloco B, 5º andar (setor ímpar)</w:t>
          </w:r>
        </w:p>
        <w:p w14:paraId="07638339" w14:textId="77777777" w:rsidR="0087442B" w:rsidRDefault="0087442B" w:rsidP="0087442B">
          <w:pPr>
            <w:pStyle w:val="Cabealho"/>
            <w:ind w:right="34"/>
            <w:rPr>
              <w:rFonts w:ascii="Cambria" w:eastAsia="Calibri" w:hAnsi="Cambria" w:cs="Cambria"/>
              <w:color w:val="17365D" w:themeColor="text2" w:themeShade="BF"/>
              <w:sz w:val="20"/>
            </w:rPr>
          </w:pPr>
          <w:r w:rsidRPr="00782529">
            <w:rPr>
              <w:rFonts w:ascii="Cambria" w:eastAsia="Calibri" w:hAnsi="Cambria" w:cs="Cambria"/>
              <w:color w:val="17365D" w:themeColor="text2" w:themeShade="BF"/>
              <w:sz w:val="20"/>
            </w:rPr>
            <w:t>Campus Universitário do Gragoatá</w:t>
          </w:r>
          <w:r>
            <w:rPr>
              <w:rFonts w:ascii="Cambria" w:eastAsia="Calibri" w:hAnsi="Cambria" w:cs="Cambria"/>
              <w:color w:val="17365D" w:themeColor="text2" w:themeShade="BF"/>
              <w:sz w:val="20"/>
            </w:rPr>
            <w:t xml:space="preserve">, </w:t>
          </w:r>
          <w:r w:rsidRPr="00782529">
            <w:rPr>
              <w:rFonts w:ascii="Cambria" w:eastAsia="Calibri" w:hAnsi="Cambria" w:cs="Cambria"/>
              <w:color w:val="17365D" w:themeColor="text2" w:themeShade="BF"/>
              <w:sz w:val="20"/>
            </w:rPr>
            <w:t>São Domingos, Niterói, RJ - CEP 24210-201</w:t>
          </w:r>
          <w:r w:rsidRPr="00C4404A">
            <w:rPr>
              <w:rFonts w:ascii="Cambria" w:eastAsia="Calibri" w:hAnsi="Cambria" w:cs="Cambria"/>
              <w:color w:val="17365D" w:themeColor="text2" w:themeShade="BF"/>
              <w:sz w:val="20"/>
            </w:rPr>
            <w:t>.</w:t>
          </w:r>
        </w:p>
        <w:p w14:paraId="0FADCD8B" w14:textId="77777777" w:rsidR="0087442B" w:rsidRPr="00631C2F" w:rsidRDefault="0087442B" w:rsidP="0087442B">
          <w:pPr>
            <w:pStyle w:val="Cabealho"/>
            <w:ind w:right="34"/>
          </w:pPr>
        </w:p>
      </w:tc>
      <w:tc>
        <w:tcPr>
          <w:tcW w:w="3544" w:type="dxa"/>
          <w:shd w:val="clear" w:color="auto" w:fill="auto"/>
          <w:vAlign w:val="center"/>
        </w:tcPr>
        <w:p w14:paraId="19B30AF1" w14:textId="77777777" w:rsidR="0087442B" w:rsidRDefault="0087442B" w:rsidP="0087442B">
          <w:pPr>
            <w:pStyle w:val="Cabealho"/>
            <w:spacing w:line="360" w:lineRule="auto"/>
            <w:rPr>
              <w:rFonts w:asciiTheme="majorHAnsi" w:eastAsia="Calibri" w:hAnsiTheme="majorHAnsi" w:cstheme="minorHAnsi"/>
              <w:b/>
              <w:color w:val="17365D" w:themeColor="text2" w:themeShade="BF"/>
              <w:sz w:val="20"/>
            </w:rPr>
          </w:pPr>
        </w:p>
        <w:p w14:paraId="04B770EF" w14:textId="01965D6F" w:rsidR="0087442B" w:rsidRPr="00445C19" w:rsidRDefault="0087442B" w:rsidP="0087442B">
          <w:pPr>
            <w:pStyle w:val="Cabealho"/>
            <w:spacing w:line="360" w:lineRule="auto"/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</w:pPr>
          <w:r w:rsidRPr="00445C19">
            <w:rPr>
              <w:rFonts w:asciiTheme="majorHAnsi" w:eastAsia="Calibri" w:hAnsiTheme="majorHAnsi" w:cstheme="minorHAnsi"/>
              <w:b/>
              <w:color w:val="17365D" w:themeColor="text2" w:themeShade="BF"/>
              <w:sz w:val="20"/>
            </w:rPr>
            <w:t xml:space="preserve">Processo </w:t>
          </w:r>
          <w:r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  <w:t>nº 23069.</w:t>
          </w:r>
          <w:r w:rsidR="001F725B"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  <w:t>153426</w:t>
          </w:r>
          <w:r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  <w:t>/20</w:t>
          </w:r>
          <w:r w:rsidR="001F725B"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  <w:t>20</w:t>
          </w:r>
          <w:r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  <w:t>-</w:t>
          </w:r>
          <w:r w:rsidR="001F725B"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  <w:t>28</w:t>
          </w:r>
        </w:p>
        <w:p w14:paraId="0C7428D7" w14:textId="4A83CDAF" w:rsidR="0087442B" w:rsidRPr="00445C19" w:rsidRDefault="0087442B" w:rsidP="0087442B">
          <w:pPr>
            <w:pStyle w:val="Cabealho"/>
            <w:spacing w:line="360" w:lineRule="auto"/>
            <w:rPr>
              <w:rFonts w:asciiTheme="majorHAnsi" w:eastAsia="Calibri" w:hAnsiTheme="majorHAnsi" w:cstheme="minorHAnsi"/>
              <w:b/>
              <w:color w:val="17365D" w:themeColor="text2" w:themeShade="BF"/>
              <w:sz w:val="20"/>
            </w:rPr>
          </w:pPr>
          <w:r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  <w:t>Revisão 01</w:t>
          </w:r>
        </w:p>
        <w:p w14:paraId="5F4F736E" w14:textId="2E95AC68" w:rsidR="0087442B" w:rsidRPr="00541683" w:rsidRDefault="0087442B" w:rsidP="0087442B">
          <w:pPr>
            <w:pStyle w:val="Cabealho"/>
            <w:spacing w:line="360" w:lineRule="auto"/>
            <w:rPr>
              <w:rFonts w:asciiTheme="majorHAnsi" w:eastAsia="Calibri" w:hAnsiTheme="majorHAnsi" w:cstheme="minorHAnsi"/>
              <w:i/>
              <w:sz w:val="20"/>
            </w:rPr>
          </w:pPr>
          <w:r w:rsidRPr="00445C19">
            <w:rPr>
              <w:rFonts w:asciiTheme="majorHAnsi" w:eastAsia="Calibri" w:hAnsiTheme="majorHAnsi" w:cstheme="minorHAnsi"/>
              <w:b/>
              <w:color w:val="17365D" w:themeColor="text2" w:themeShade="BF"/>
              <w:sz w:val="20"/>
            </w:rPr>
            <w:t>Data:</w:t>
          </w:r>
          <w:r w:rsidRPr="00445C19">
            <w:rPr>
              <w:rFonts w:asciiTheme="majorHAnsi" w:eastAsia="Calibri" w:hAnsiTheme="majorHAnsi" w:cstheme="minorHAnsi"/>
              <w:color w:val="17365D" w:themeColor="text2" w:themeShade="BF"/>
              <w:sz w:val="20"/>
            </w:rPr>
            <w:t xml:space="preserve"> </w:t>
          </w:r>
          <w:r>
            <w:rPr>
              <w:rFonts w:asciiTheme="majorHAnsi" w:eastAsia="Calibri" w:hAnsiTheme="majorHAnsi" w:cstheme="minorHAnsi"/>
              <w:i/>
              <w:color w:val="17365D" w:themeColor="text2" w:themeShade="BF"/>
              <w:sz w:val="20"/>
            </w:rPr>
            <w:t>12/03/2020</w:t>
          </w:r>
        </w:p>
      </w:tc>
    </w:tr>
  </w:tbl>
  <w:p w14:paraId="2560E60C" w14:textId="77777777" w:rsidR="00613FAA" w:rsidRDefault="00613FAA">
    <w:pPr>
      <w:suppressAutoHyphens/>
      <w:spacing w:after="0" w:line="240" w:lineRule="auto"/>
      <w:jc w:val="center"/>
      <w:rPr>
        <w:rFonts w:eastAsia="Times New Roman" w:cstheme="minorHAnsi"/>
        <w:color w:val="000000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50ABE"/>
    <w:multiLevelType w:val="multilevel"/>
    <w:tmpl w:val="9404DB8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AA"/>
    <w:rsid w:val="001A0B6B"/>
    <w:rsid w:val="001F725B"/>
    <w:rsid w:val="004B7AC8"/>
    <w:rsid w:val="00613FAA"/>
    <w:rsid w:val="00666AB9"/>
    <w:rsid w:val="00734303"/>
    <w:rsid w:val="00766D7C"/>
    <w:rsid w:val="0087389D"/>
    <w:rsid w:val="0087442B"/>
    <w:rsid w:val="009E7911"/>
    <w:rsid w:val="00E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2B9E"/>
  <w15:docId w15:val="{B85FAF0B-4CC8-4C38-8CB1-2078E485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  <w:qFormat/>
    <w:rsid w:val="00152D9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D9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6F3AD8"/>
  </w:style>
  <w:style w:type="character" w:customStyle="1" w:styleId="RodapChar">
    <w:name w:val="Rodapé Char"/>
    <w:basedOn w:val="Fontepargpadro"/>
    <w:link w:val="Rodap"/>
    <w:uiPriority w:val="99"/>
    <w:qFormat/>
    <w:rsid w:val="006F3AD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rgrafodaLista1">
    <w:name w:val="Parágrafo da Lista1"/>
    <w:basedOn w:val="Normal"/>
    <w:qFormat/>
    <w:rsid w:val="00152D9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D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Cabeçalho superior,Heading 1a"/>
    <w:basedOn w:val="Normal"/>
    <w:link w:val="CabealhoChar"/>
    <w:unhideWhenUsed/>
    <w:rsid w:val="006F3AD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F3AD8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qFormat/>
    <w:rsid w:val="0087389D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Joao Paulo Moraes</cp:lastModifiedBy>
  <cp:revision>3</cp:revision>
  <dcterms:created xsi:type="dcterms:W3CDTF">2020-04-12T01:20:00Z</dcterms:created>
  <dcterms:modified xsi:type="dcterms:W3CDTF">2020-04-14T03:03:00Z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