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B813CA">
              <w:rPr>
                <w:rFonts w:ascii="Verdana" w:eastAsia="Verdana" w:hAnsi="Verdana" w:cs="Verdana"/>
                <w:b/>
              </w:rPr>
              <w:t>72</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B813CA" w:rsidRPr="00B813CA">
              <w:rPr>
                <w:rFonts w:ascii="Verdana" w:eastAsia="Verdana" w:hAnsi="Verdana" w:cs="Verdana"/>
                <w:b/>
              </w:rPr>
              <w:t>23069.169536/2023-54</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 xml:space="preserve">Lei nº </w:t>
            </w:r>
            <w:r w:rsidRPr="00B813CA">
              <w:rPr>
                <w:b/>
                <w:color w:val="000000"/>
                <w:sz w:val="18"/>
                <w:szCs w:val="18"/>
              </w:rPr>
              <w:t>10.520</w:t>
            </w:r>
            <w:r>
              <w:rPr>
                <w:color w:val="000000"/>
                <w:sz w:val="18"/>
                <w:szCs w:val="18"/>
              </w:rPr>
              <w:t>, de 17 de julho de 2002, do Decreto nº 10.024, de 20 de setembro de 2019,</w:t>
            </w:r>
            <w:r>
              <w:rPr>
                <w:sz w:val="18"/>
                <w:szCs w:val="18"/>
              </w:rPr>
              <w:t xml:space="preserve"> do </w:t>
            </w:r>
            <w:proofErr w:type="gramStart"/>
            <w:r>
              <w:rPr>
                <w:sz w:val="18"/>
                <w:szCs w:val="18"/>
              </w:rPr>
              <w:t>Decreto  nº</w:t>
            </w:r>
            <w:proofErr w:type="gramEnd"/>
            <w:r>
              <w:rPr>
                <w:sz w:val="18"/>
                <w:szCs w:val="18"/>
              </w:rPr>
              <w:t xml:space="preserve">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w:t>
            </w:r>
            <w:r w:rsidRPr="00B813CA">
              <w:rPr>
                <w:b/>
                <w:color w:val="000000"/>
                <w:sz w:val="18"/>
                <w:szCs w:val="18"/>
              </w:rPr>
              <w:t>a Lei nº 8.666</w:t>
            </w:r>
            <w:r>
              <w:rPr>
                <w:color w:val="000000"/>
                <w:sz w:val="18"/>
                <w:szCs w:val="18"/>
              </w:rPr>
              <w:t>,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5D4098">
            <w:pPr>
              <w:jc w:val="both"/>
              <w:rPr>
                <w:color w:val="000000"/>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construção do Sistema de Registro de Preços para </w:t>
            </w:r>
            <w:r w:rsidR="00B813CA" w:rsidRPr="00B813CA">
              <w:rPr>
                <w:sz w:val="18"/>
                <w:szCs w:val="18"/>
              </w:rPr>
              <w:t xml:space="preserve">Eventual Aquisição de </w:t>
            </w:r>
            <w:r w:rsidR="00B813CA" w:rsidRPr="00B813CA">
              <w:rPr>
                <w:b/>
                <w:sz w:val="18"/>
                <w:szCs w:val="18"/>
              </w:rPr>
              <w:t>Materiais e Equipamentos Odontológicos</w:t>
            </w:r>
            <w:r w:rsidR="00B813CA" w:rsidRPr="00B813CA">
              <w:rPr>
                <w:sz w:val="18"/>
                <w:szCs w:val="18"/>
              </w:rPr>
              <w:t xml:space="preserve"> para atender a Universidade Federal Fluminense através da Pró-Reitoria de Administração (PROAD), em Niterói – RJ</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 xml:space="preserve">A partir da data de divulgação do Edital no </w:t>
            </w:r>
            <w:proofErr w:type="gramStart"/>
            <w:r>
              <w:rPr>
                <w:color w:val="000000"/>
                <w:sz w:val="18"/>
                <w:szCs w:val="18"/>
              </w:rPr>
              <w:t>site</w:t>
            </w:r>
            <w:proofErr w:type="gramEnd"/>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DD22F3">
            <w:pPr>
              <w:jc w:val="both"/>
              <w:rPr>
                <w:color w:val="000000"/>
                <w:sz w:val="18"/>
                <w:szCs w:val="18"/>
              </w:rPr>
            </w:pPr>
            <w:r>
              <w:rPr>
                <w:sz w:val="18"/>
                <w:szCs w:val="18"/>
              </w:rPr>
              <w:t xml:space="preserve">Sessão Pública a ser realizada no endereço eletrônico informado no edital, às </w:t>
            </w:r>
            <w:r w:rsidR="00DD22F3">
              <w:rPr>
                <w:b/>
                <w:sz w:val="18"/>
                <w:szCs w:val="18"/>
              </w:rPr>
              <w:t>10h</w:t>
            </w:r>
            <w:r>
              <w:rPr>
                <w:sz w:val="18"/>
                <w:szCs w:val="18"/>
              </w:rPr>
              <w:t xml:space="preserve"> do dia </w:t>
            </w:r>
            <w:r w:rsidR="00DD22F3" w:rsidRPr="00DD22F3">
              <w:rPr>
                <w:b/>
                <w:sz w:val="18"/>
                <w:szCs w:val="18"/>
              </w:rPr>
              <w:t>14/SET/2023</w:t>
            </w:r>
            <w:r>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bookmarkStart w:id="0" w:name="_GoBack"/>
            <w:bookmarkEnd w:id="0"/>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proofErr w:type="gramStart"/>
            <w:r>
              <w:rPr>
                <w:color w:val="000000"/>
                <w:sz w:val="18"/>
                <w:szCs w:val="18"/>
              </w:rPr>
              <w:t>E-mail</w:t>
            </w:r>
            <w:proofErr w:type="gramEnd"/>
            <w:r>
              <w:rPr>
                <w:color w:val="000000"/>
                <w:sz w:val="18"/>
                <w:szCs w:val="18"/>
              </w:rPr>
              <w:t xml:space="preserve">: </w:t>
            </w:r>
            <w:hyperlink r:id="rId10">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6D4ECE">
            <w:pPr>
              <w:jc w:val="both"/>
              <w:rPr>
                <w:b/>
                <w:color w:val="0000FF"/>
                <w:sz w:val="18"/>
                <w:szCs w:val="18"/>
                <w:u w:val="single"/>
              </w:rPr>
            </w:pPr>
            <w:hyperlink r:id="rId11">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342ADD"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 xml:space="preserve">João Gilberto Torres Aranha </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B813CA">
        <w:rPr>
          <w:rFonts w:ascii="Verdana" w:eastAsia="Verdana" w:hAnsi="Verdana" w:cs="Verdana"/>
          <w:b/>
        </w:rPr>
        <w:t>72</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F26171" w:rsidRDefault="008F7808">
      <w:pPr>
        <w:spacing w:before="100" w:after="100"/>
        <w:jc w:val="center"/>
        <w:rPr>
          <w:b/>
          <w:color w:val="000000"/>
        </w:rPr>
      </w:pPr>
      <w:r w:rsidRPr="00F5351E">
        <w:rPr>
          <w:rFonts w:ascii="Verdana" w:eastAsia="Verdana" w:hAnsi="Verdana" w:cs="Verdana"/>
          <w:b/>
        </w:rPr>
        <w:t xml:space="preserve">PROCESSO Nº </w:t>
      </w:r>
      <w:r w:rsidR="00B813CA" w:rsidRPr="00B813CA">
        <w:rPr>
          <w:rFonts w:ascii="Verdana" w:eastAsia="Verdana" w:hAnsi="Verdana" w:cs="Verdana"/>
          <w:b/>
        </w:rPr>
        <w:t>23069.169536/2023-54</w:t>
      </w:r>
    </w:p>
    <w:p w:rsidR="00982408" w:rsidRDefault="008F7808">
      <w:pPr>
        <w:ind w:firstLine="540"/>
        <w:jc w:val="both"/>
        <w:rPr>
          <w:color w:val="000000"/>
        </w:rPr>
      </w:pPr>
      <w:r>
        <w:rPr>
          <w:color w:val="000000"/>
        </w:rPr>
        <w:t xml:space="preserve">Torna-se público, para conhecimento dos interessados, que a </w:t>
      </w:r>
      <w:r>
        <w:t xml:space="preserve">Universidade Federal Fluminense, através da sua Pró-Reitoria de Administração, inscrita no CNPJ/MF sob nº 28.523.215/0039-89, situada na Rua Miguel de Frias, 9, 1º andar, Icaraí, Niterói/RJ, CEP 24.220-008, realizará </w:t>
      </w:r>
      <w:proofErr w:type="gramStart"/>
      <w:r>
        <w:t>licitação</w:t>
      </w:r>
      <w:r>
        <w:rPr>
          <w:color w:val="000000"/>
        </w:rPr>
        <w:t>,  para</w:t>
      </w:r>
      <w:proofErr w:type="gramEnd"/>
      <w:r>
        <w:rPr>
          <w:color w:val="000000"/>
        </w:rPr>
        <w:t xml:space="preserve">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na data de abertura e horário informados no mesmo (</w:t>
      </w:r>
      <w:proofErr w:type="gramStart"/>
      <w:r>
        <w:t>Consultas &gt;</w:t>
      </w:r>
      <w:proofErr w:type="gramEnd"/>
      <w:r>
        <w:t xml:space="preserve">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rsidP="00B813CA">
      <w:pPr>
        <w:numPr>
          <w:ilvl w:val="1"/>
          <w:numId w:val="7"/>
        </w:numPr>
        <w:spacing w:before="120" w:after="120" w:line="276" w:lineRule="auto"/>
        <w:jc w:val="both"/>
      </w:pPr>
      <w:r>
        <w:t xml:space="preserve">O objeto da presente licitação é a escolha da proposta mais vantajosa para a </w:t>
      </w:r>
      <w:r w:rsidR="00B813CA" w:rsidRPr="00B813CA">
        <w:t xml:space="preserve">Eventual Aquisição de </w:t>
      </w:r>
      <w:r w:rsidR="00B813CA" w:rsidRPr="00B813CA">
        <w:rPr>
          <w:b/>
        </w:rPr>
        <w:t>Materiais e Equipamentos Odontológicos</w:t>
      </w:r>
      <w:r w:rsidR="00B813CA" w:rsidRPr="00B813CA">
        <w:t xml:space="preserve"> para atender a Universidade Federal Fluminense através da Pró-Reitoria de Administração (PROAD), em Niterói – RJ</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proofErr w:type="gramStart"/>
      <w:r>
        <w:t>proibidos</w:t>
      </w:r>
      <w:proofErr w:type="gramEnd"/>
      <w:r>
        <w:t xml:space="preserve">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proofErr w:type="gramStart"/>
      <w:r>
        <w:t>que</w:t>
      </w:r>
      <w:proofErr w:type="gramEnd"/>
      <w:r>
        <w:t xml:space="preserve"> não atendam às condições deste Edital e seu(s) anexo(s);</w:t>
      </w:r>
    </w:p>
    <w:p w:rsidR="00982408" w:rsidRDefault="008F7808">
      <w:pPr>
        <w:numPr>
          <w:ilvl w:val="2"/>
          <w:numId w:val="3"/>
        </w:numPr>
        <w:tabs>
          <w:tab w:val="left" w:pos="1440"/>
        </w:tabs>
        <w:spacing w:after="240" w:line="276" w:lineRule="auto"/>
        <w:jc w:val="both"/>
      </w:pPr>
      <w:proofErr w:type="gramStart"/>
      <w:r>
        <w:rPr>
          <w:color w:val="000000"/>
        </w:rPr>
        <w:lastRenderedPageBreak/>
        <w:t>estrangeiros</w:t>
      </w:r>
      <w:proofErr w:type="gramEnd"/>
      <w:r>
        <w:rPr>
          <w:color w:val="000000"/>
        </w:rPr>
        <w:t xml:space="preserve">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se enquadrem nas vedações previstas no artigo 9º da Lei nº 8.666, de 1993;</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proofErr w:type="gramStart"/>
      <w:r>
        <w:t>entidades</w:t>
      </w:r>
      <w:proofErr w:type="gramEnd"/>
      <w:r>
        <w:t xml:space="preserve">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arts. 42 </w:t>
      </w:r>
      <w:proofErr w:type="gramStart"/>
      <w:r>
        <w:rPr>
          <w:color w:val="000000"/>
        </w:rPr>
        <w:t>a</w:t>
      </w:r>
      <w:proofErr w:type="gramEnd"/>
      <w:r>
        <w:rPr>
          <w:color w:val="000000"/>
        </w:rPr>
        <w:t xml:space="preserve"> 49; </w:t>
      </w:r>
    </w:p>
    <w:p w:rsidR="00982408" w:rsidRDefault="008F7808">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proofErr w:type="gramStart"/>
      <w:r w:rsidRPr="00D569C7">
        <w:rPr>
          <w:color w:val="000000"/>
        </w:rPr>
        <w:t>que</w:t>
      </w:r>
      <w:proofErr w:type="gramEnd"/>
      <w:r w:rsidRPr="00D569C7">
        <w:rPr>
          <w:color w:val="000000"/>
        </w:rPr>
        <w:t xml:space="preserv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w:t>
      </w:r>
      <w:proofErr w:type="gramStart"/>
      <w:r>
        <w:rPr>
          <w:color w:val="000000"/>
        </w:rPr>
        <w:t>o horário estabelecidos</w:t>
      </w:r>
      <w:proofErr w:type="gramEnd"/>
      <w:r>
        <w:rPr>
          <w:color w:val="000000"/>
        </w:rPr>
        <w:t xml:space="preserve">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lastRenderedPageBreak/>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Descrição detalhada do objeto</w:t>
      </w:r>
      <w:proofErr w:type="gramStart"/>
      <w:r>
        <w:rPr>
          <w:color w:val="000000"/>
        </w:rPr>
        <w:t>,</w:t>
      </w:r>
      <w:proofErr w:type="gramEnd"/>
      <w:r>
        <w:rPr>
          <w:color w:val="000000"/>
        </w:rPr>
        <w:t xml:space="preserve">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 xml:space="preserve">Nos valores propostos estarão inclusos todos os custos operacionais, encargos previdenciários, trabalhistas, tributários, </w:t>
      </w:r>
      <w:proofErr w:type="gramStart"/>
      <w:r>
        <w:t>comerciais</w:t>
      </w:r>
      <w:proofErr w:type="gramEnd"/>
      <w:r>
        <w:t xml:space="preserve">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Pr>
          <w:rFonts w:cs="Arial"/>
          <w:color w:val="000000"/>
          <w:szCs w:val="20"/>
        </w:rPr>
        <w:t>condenação dos agentes públicos responsáveis</w:t>
      </w:r>
      <w:proofErr w:type="gramEnd"/>
      <w:r>
        <w:rPr>
          <w:rFonts w:cs="Arial"/>
          <w:color w:val="000000"/>
          <w:szCs w:val="20"/>
        </w:rPr>
        <w:t xml:space="preserve">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 xml:space="preserve">A abertura da presente licitação dar-se-á em sessão pública, por meio de sistema eletrônico, na data, horário e </w:t>
      </w:r>
      <w:proofErr w:type="gramStart"/>
      <w:r>
        <w:t>local indicados</w:t>
      </w:r>
      <w:proofErr w:type="gramEnd"/>
      <w:r>
        <w:t xml:space="preserve">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w:t>
      </w:r>
      <w:proofErr w:type="gramStart"/>
      <w:r>
        <w:t>,</w:t>
      </w:r>
      <w:proofErr w:type="gramEnd"/>
      <w:r>
        <w:t xml:space="preserve">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lastRenderedPageBreak/>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w:t>
      </w:r>
      <w:proofErr w:type="gramStart"/>
      <w:r>
        <w:t>e</w:t>
      </w:r>
      <w:proofErr w:type="gramEnd"/>
      <w:r>
        <w:t xml:space="preserv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no</w:t>
      </w:r>
      <w:proofErr w:type="gramEnd"/>
      <w:r>
        <w:rPr>
          <w:rFonts w:cs="Arial"/>
          <w:color w:val="000000"/>
          <w:szCs w:val="20"/>
        </w:rPr>
        <w:t xml:space="preserve">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 xml:space="preserve">O Pregoeiro poderá convocar o licitante para enviar documento digital complementar, por meio de funcionalidade disponível no sistema, no prazo de 2 (duas) horas sob pena de </w:t>
      </w:r>
      <w:proofErr w:type="gramStart"/>
      <w:r>
        <w:t>não aceitação</w:t>
      </w:r>
      <w:proofErr w:type="gramEnd"/>
      <w:r>
        <w:t xml:space="preserve">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w:t>
      </w:r>
      <w:proofErr w:type="gramStart"/>
      <w:r w:rsidRPr="00CC4F8B">
        <w:rPr>
          <w:color w:val="000000"/>
        </w:rPr>
        <w:t>chat</w:t>
      </w:r>
      <w:proofErr w:type="gramEnd"/>
      <w:r w:rsidRPr="00CC4F8B">
        <w:rPr>
          <w:color w:val="000000"/>
        </w:rPr>
        <w:t xml:space="preserve">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w:t>
      </w:r>
      <w:proofErr w:type="gramStart"/>
      <w:r>
        <w:rPr>
          <w:rFonts w:cs="Arial"/>
          <w:color w:val="000000"/>
          <w:szCs w:val="20"/>
        </w:rPr>
        <w:t>não aceitação</w:t>
      </w:r>
      <w:proofErr w:type="gramEnd"/>
      <w:r>
        <w:rPr>
          <w:rFonts w:cs="Arial"/>
          <w:color w:val="000000"/>
          <w:szCs w:val="20"/>
        </w:rPr>
        <w:t xml:space="preserve">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w:t>
      </w:r>
      <w:proofErr w:type="gramStart"/>
      <w:r>
        <w:t>chat</w:t>
      </w:r>
      <w:proofErr w:type="gramEnd"/>
      <w:r>
        <w: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 xml:space="preserve">A apresentação do Certificado de Regularidade será dispensada, caso o Pregoeiro logre êxito em obtê-lo mediante consulta </w:t>
      </w:r>
      <w:proofErr w:type="gramStart"/>
      <w:r>
        <w:t>on-line</w:t>
      </w:r>
      <w:proofErr w:type="gramEnd"/>
      <w:r>
        <w:t xml:space="preserv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 xml:space="preserve">No caso de inabilitação, haverá nova verificação, pelo sistema, da eventual ocorrência do empate ficto, previsto nos arts. 44 </w:t>
      </w:r>
      <w:proofErr w:type="gramStart"/>
      <w:r>
        <w:rPr>
          <w:rFonts w:cs="Arial"/>
          <w:color w:val="000000"/>
          <w:szCs w:val="20"/>
        </w:rPr>
        <w:t>e</w:t>
      </w:r>
      <w:proofErr w:type="gramEnd"/>
      <w:r>
        <w:rPr>
          <w:rFonts w:cs="Arial"/>
          <w:color w:val="000000"/>
          <w:szCs w:val="20"/>
        </w:rPr>
        <w:t xml:space="preserv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a(s</w:t>
      </w:r>
      <w:proofErr w:type="gramEnd"/>
      <w:r>
        <w:rPr>
          <w:color w:val="000000"/>
        </w:rPr>
        <w:t>)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na Junta </w:t>
      </w:r>
      <w:r>
        <w:rPr>
          <w:rFonts w:cs="Arial"/>
          <w:color w:val="000000"/>
          <w:szCs w:val="20"/>
        </w:rPr>
        <w:lastRenderedPageBreak/>
        <w:t>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inscrição</w:t>
      </w:r>
      <w:proofErr w:type="gramEnd"/>
      <w:r>
        <w:rPr>
          <w:rFonts w:cs="Arial"/>
          <w:color w:val="000000"/>
          <w:szCs w:val="20"/>
        </w:rPr>
        <w:t xml:space="preserve">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proofErr w:type="gramStart"/>
      <w:r>
        <w:t>prova</w:t>
      </w:r>
      <w:proofErr w:type="gramEnd"/>
      <w:r>
        <w:t xml:space="preserve"> de inscrição no Cadastro Nacional de Pessoas Jurídicas ou no Cadastro de Pessoas Físicas, conforme o caso;</w:t>
      </w:r>
    </w:p>
    <w:p w:rsidR="00982408" w:rsidRDefault="008F7808">
      <w:pPr>
        <w:numPr>
          <w:ilvl w:val="2"/>
          <w:numId w:val="3"/>
        </w:numPr>
        <w:tabs>
          <w:tab w:val="left" w:pos="1440"/>
        </w:tabs>
        <w:spacing w:after="24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proofErr w:type="gramStart"/>
      <w:r>
        <w:rPr>
          <w:color w:val="000000"/>
        </w:rPr>
        <w:t>prova</w:t>
      </w:r>
      <w:proofErr w:type="gramEnd"/>
      <w:r>
        <w:rPr>
          <w:color w:val="000000"/>
        </w:rPr>
        <w:t xml:space="preserve"> de regularidade com o Fundo de Garantia do Tempo de Serviço (FGTS);</w:t>
      </w:r>
    </w:p>
    <w:p w:rsidR="00982408" w:rsidRDefault="008F7808">
      <w:pPr>
        <w:numPr>
          <w:ilvl w:val="2"/>
          <w:numId w:val="3"/>
        </w:numPr>
        <w:tabs>
          <w:tab w:val="left" w:pos="1440"/>
        </w:tabs>
        <w:spacing w:after="24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proofErr w:type="gramStart"/>
      <w:r>
        <w:rPr>
          <w:b/>
        </w:rPr>
        <w:lastRenderedPageBreak/>
        <w:t>Qualificação  Econômico-Financeira.</w:t>
      </w:r>
      <w:proofErr w:type="gramEnd"/>
    </w:p>
    <w:p w:rsidR="00982408" w:rsidRDefault="008F7808">
      <w:pPr>
        <w:numPr>
          <w:ilvl w:val="2"/>
          <w:numId w:val="3"/>
        </w:numPr>
        <w:tabs>
          <w:tab w:val="left" w:pos="1440"/>
        </w:tabs>
        <w:spacing w:after="240"/>
        <w:jc w:val="both"/>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No caso de fornecimento de bens para pronta entrega, não será exigido da licitante qualificada como microempresa ou empresa de pequeno porte, a apresentação de balanço patrimonial do último exercício financeiro. (Art. 3º </w:t>
      </w:r>
      <w:proofErr w:type="gramStart"/>
      <w:r>
        <w:rPr>
          <w:rFonts w:cs="Arial"/>
          <w:color w:val="000000"/>
          <w:szCs w:val="20"/>
        </w:rPr>
        <w:t>do</w:t>
      </w:r>
      <w:proofErr w:type="gramEnd"/>
      <w:r>
        <w:rPr>
          <w:rFonts w:cs="Arial"/>
          <w:color w:val="000000"/>
          <w:szCs w:val="20"/>
        </w:rPr>
        <w:t xml:space="preserve">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proofErr w:type="gramStart"/>
      <w:r>
        <w:rPr>
          <w:rFonts w:cs="Arial"/>
          <w:color w:val="000000"/>
          <w:szCs w:val="20"/>
        </w:rPr>
        <w:t>no</w:t>
      </w:r>
      <w:proofErr w:type="gramEnd"/>
      <w:r>
        <w:rPr>
          <w:rFonts w:cs="Arial"/>
          <w:color w:val="000000"/>
          <w:szCs w:val="20"/>
        </w:rPr>
        <w:t xml:space="preserve">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proofErr w:type="gramStart"/>
      <w:r>
        <w:rPr>
          <w:rFonts w:cs="Arial"/>
          <w:color w:val="000000"/>
          <w:szCs w:val="20"/>
        </w:rPr>
        <w:t>é</w:t>
      </w:r>
      <w:proofErr w:type="gramEnd"/>
      <w:r>
        <w:rPr>
          <w:rFonts w:cs="Arial"/>
          <w:color w:val="000000"/>
          <w:szCs w:val="20"/>
        </w:rPr>
        <w:t xml:space="preserve">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 xml:space="preserve">resultado inferior ou igual a </w:t>
      </w:r>
      <w:proofErr w:type="gramStart"/>
      <w:r>
        <w:rPr>
          <w:color w:val="000000"/>
        </w:rPr>
        <w:t>1(um</w:t>
      </w:r>
      <w:proofErr w:type="gramEnd"/>
      <w:r>
        <w:rPr>
          <w:color w:val="000000"/>
        </w:rPr>
        <w:t>)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 xml:space="preserve">Comprovação de aptidão para o fornecimento de bens em características, quantidades e prazos compatíveis com o objeto desta licitação, ou com o item pertinente, por meio da </w:t>
      </w:r>
      <w:r w:rsidRPr="001004B7">
        <w:rPr>
          <w:rFonts w:cs="Arial"/>
          <w:szCs w:val="20"/>
        </w:rPr>
        <w:lastRenderedPageBreak/>
        <w:t>apresentação de atestados fornecidos por pessoas jurídicas de direito público ou privado, sendo comprovado fornecimento de no mínimo 25% (vinte e cinco por cento) do quantitativo estimado para cada item</w:t>
      </w:r>
      <w:r>
        <w:rPr>
          <w:rFonts w:cs="Arial"/>
          <w:szCs w:val="20"/>
        </w:rPr>
        <w:t>.</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 xml:space="preserve">Havendo necessidade de analisar minuciosamente </w:t>
      </w:r>
      <w:proofErr w:type="gramStart"/>
      <w:r>
        <w:t>os documentos exigidos, o Pregoeiro suspenderá</w:t>
      </w:r>
      <w:proofErr w:type="gramEnd"/>
      <w:r>
        <w:t xml:space="preserve">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 xml:space="preserve">Não havendo a comprovação cumulativa dos requisitos de habilitação, a inabilitação recairá sobre </w:t>
      </w:r>
      <w:proofErr w:type="gramStart"/>
      <w:r>
        <w:t>o(s</w:t>
      </w:r>
      <w:proofErr w:type="gramEnd"/>
      <w:r>
        <w:t>)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proofErr w:type="gramStart"/>
      <w:r>
        <w:lastRenderedPageBreak/>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proofErr w:type="gramStart"/>
      <w:r>
        <w:t>conter</w:t>
      </w:r>
      <w:proofErr w:type="gramEnd"/>
      <w:r>
        <w:t xml:space="preserve">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w:t>
      </w:r>
      <w:proofErr w:type="gramStart"/>
      <w:r>
        <w:t>qual(is</w:t>
      </w:r>
      <w:proofErr w:type="gramEnd"/>
      <w:r>
        <w:t>)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t xml:space="preserve">O acolhimento do recurso invalida </w:t>
      </w:r>
      <w:proofErr w:type="gramStart"/>
      <w:r>
        <w:t>tão somente</w:t>
      </w:r>
      <w:proofErr w:type="gramEnd"/>
      <w:r>
        <w:t xml:space="preserv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A convocação se dará por meio do sistema eletrônico (“chat”), </w:t>
      </w:r>
      <w:proofErr w:type="gramStart"/>
      <w:r>
        <w:rPr>
          <w:rFonts w:cs="Arial"/>
          <w:color w:val="000000"/>
          <w:szCs w:val="20"/>
        </w:rPr>
        <w:t>e-mail</w:t>
      </w:r>
      <w:proofErr w:type="gramEnd"/>
      <w:r>
        <w:rPr>
          <w:rFonts w:cs="Arial"/>
          <w:color w:val="000000"/>
          <w:szCs w:val="20"/>
        </w:rPr>
        <w:t>,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A convocação feita por </w:t>
      </w:r>
      <w:proofErr w:type="gramStart"/>
      <w:r>
        <w:rPr>
          <w:rFonts w:cs="Arial"/>
          <w:color w:val="000000"/>
          <w:szCs w:val="20"/>
        </w:rPr>
        <w:t>e-mail</w:t>
      </w:r>
      <w:proofErr w:type="gramEnd"/>
      <w:r>
        <w:rPr>
          <w:rFonts w:cs="Arial"/>
          <w:color w:val="000000"/>
          <w:szCs w:val="20"/>
        </w:rPr>
        <w:t xml:space="preserve">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w:t>
      </w:r>
      <w:proofErr w:type="gramStart"/>
      <w:r>
        <w:t>nela fixado</w:t>
      </w:r>
      <w:proofErr w:type="gramEnd"/>
      <w:r>
        <w:t xml:space="preserve">, sob pena de decair do direito à contratação, sem prejuízo das sanções previstas neste Edital. </w:t>
      </w:r>
    </w:p>
    <w:p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lastRenderedPageBreak/>
        <w:t xml:space="preserve">O prazo estabelecido no subitem anterior para assinatura da Ata de Registro de Preços poderá ser prorrogado uma única vez, por igual período, quando solicitado </w:t>
      </w:r>
      <w:proofErr w:type="gramStart"/>
      <w:r>
        <w:t>pelo(s</w:t>
      </w:r>
      <w:proofErr w:type="gramEnd"/>
      <w:r>
        <w:t>) licitante(s) vencedor(s), durante o seu transcurso, e desde que devidamente aceito.</w:t>
      </w:r>
    </w:p>
    <w:p w:rsidR="00982408" w:rsidRDefault="008F7808">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w:t>
      </w:r>
      <w:proofErr w:type="gramStart"/>
      <w:r>
        <w:t>do(s</w:t>
      </w:r>
      <w:proofErr w:type="gramEnd"/>
      <w:r>
        <w:t>)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 xml:space="preserve">O Aceite da Nota de Empenho ou do instrumento equivalente, emitida à empresa adjudicada, implica no reconhecimento de </w:t>
      </w:r>
      <w:proofErr w:type="gramStart"/>
      <w:r>
        <w:t>que</w:t>
      </w:r>
      <w:proofErr w:type="gramEnd"/>
      <w:r>
        <w:t>:</w:t>
      </w:r>
    </w:p>
    <w:p w:rsidR="00982408" w:rsidRDefault="008F7808">
      <w:pPr>
        <w:numPr>
          <w:ilvl w:val="2"/>
          <w:numId w:val="3"/>
        </w:numPr>
        <w:pBdr>
          <w:top w:val="nil"/>
          <w:left w:val="nil"/>
          <w:bottom w:val="nil"/>
          <w:right w:val="nil"/>
          <w:between w:val="nil"/>
        </w:pBdr>
        <w:jc w:val="both"/>
        <w:rPr>
          <w:rFonts w:cs="Arial"/>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a</w:t>
      </w:r>
      <w:proofErr w:type="gramEnd"/>
      <w:r>
        <w:rPr>
          <w:rFonts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w:t>
      </w:r>
      <w:proofErr w:type="gramStart"/>
      <w:r>
        <w:t>que</w:t>
      </w:r>
      <w:proofErr w:type="gramEnd"/>
      <w:r>
        <w:t xml:space="preserve">: </w:t>
      </w:r>
    </w:p>
    <w:p w:rsidR="00982408" w:rsidRDefault="008F7808">
      <w:pPr>
        <w:numPr>
          <w:ilvl w:val="2"/>
          <w:numId w:val="3"/>
        </w:numPr>
        <w:tabs>
          <w:tab w:val="left" w:pos="1440"/>
        </w:tabs>
        <w:spacing w:after="240"/>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rsidR="00982408" w:rsidRDefault="008F7808">
      <w:pPr>
        <w:numPr>
          <w:ilvl w:val="2"/>
          <w:numId w:val="3"/>
        </w:numPr>
        <w:tabs>
          <w:tab w:val="left" w:pos="1440"/>
        </w:tabs>
        <w:spacing w:after="240"/>
        <w:jc w:val="both"/>
        <w:rPr>
          <w:highlight w:val="white"/>
        </w:rPr>
      </w:pPr>
      <w:proofErr w:type="gramStart"/>
      <w:r>
        <w:rPr>
          <w:highlight w:val="white"/>
        </w:rPr>
        <w:lastRenderedPageBreak/>
        <w:t>apresentar</w:t>
      </w:r>
      <w:proofErr w:type="gramEnd"/>
      <w:r>
        <w:rPr>
          <w:highlight w:val="white"/>
        </w:rPr>
        <w:t xml:space="preserve"> documentação falsa;</w:t>
      </w:r>
    </w:p>
    <w:p w:rsidR="00982408" w:rsidRDefault="008F7808">
      <w:pPr>
        <w:numPr>
          <w:ilvl w:val="2"/>
          <w:numId w:val="3"/>
        </w:numPr>
        <w:tabs>
          <w:tab w:val="left" w:pos="1440"/>
        </w:tabs>
        <w:spacing w:after="240"/>
        <w:jc w:val="both"/>
        <w:rPr>
          <w:highlight w:val="white"/>
        </w:rPr>
      </w:pPr>
      <w:proofErr w:type="gramStart"/>
      <w:r>
        <w:rPr>
          <w:highlight w:val="white"/>
        </w:rPr>
        <w:t>deixar</w:t>
      </w:r>
      <w:proofErr w:type="gramEnd"/>
      <w:r>
        <w:rPr>
          <w:highlight w:val="white"/>
        </w:rPr>
        <w:t xml:space="preserve"> de entregar os documentos exigidos no certame;</w:t>
      </w:r>
    </w:p>
    <w:p w:rsidR="00982408" w:rsidRDefault="008F7808">
      <w:pPr>
        <w:numPr>
          <w:ilvl w:val="2"/>
          <w:numId w:val="3"/>
        </w:numPr>
        <w:tabs>
          <w:tab w:val="left" w:pos="1440"/>
        </w:tabs>
        <w:spacing w:after="240"/>
        <w:jc w:val="both"/>
        <w:rPr>
          <w:highlight w:val="white"/>
        </w:rPr>
      </w:pPr>
      <w:proofErr w:type="gramStart"/>
      <w:r>
        <w:t>ensejar</w:t>
      </w:r>
      <w:proofErr w:type="gramEnd"/>
      <w:r>
        <w:t xml:space="preserve"> o retardamento da execução do objeto;</w:t>
      </w:r>
    </w:p>
    <w:p w:rsidR="00982408" w:rsidRDefault="008F7808">
      <w:pPr>
        <w:numPr>
          <w:ilvl w:val="2"/>
          <w:numId w:val="3"/>
        </w:numPr>
        <w:tabs>
          <w:tab w:val="left" w:pos="1440"/>
        </w:tabs>
        <w:spacing w:after="240"/>
        <w:jc w:val="both"/>
        <w:rPr>
          <w:highlight w:val="white"/>
        </w:rPr>
      </w:pPr>
      <w:proofErr w:type="gramStart"/>
      <w:r>
        <w:rPr>
          <w:highlight w:val="white"/>
        </w:rPr>
        <w:t>não</w:t>
      </w:r>
      <w:proofErr w:type="gramEnd"/>
      <w:r>
        <w:rPr>
          <w:highlight w:val="white"/>
        </w:rPr>
        <w:t xml:space="preserve"> mantiver a proposta;</w:t>
      </w:r>
    </w:p>
    <w:p w:rsidR="00982408" w:rsidRDefault="008F7808">
      <w:pPr>
        <w:numPr>
          <w:ilvl w:val="2"/>
          <w:numId w:val="3"/>
        </w:numPr>
        <w:tabs>
          <w:tab w:val="left" w:pos="1440"/>
        </w:tabs>
        <w:spacing w:after="240"/>
        <w:jc w:val="both"/>
        <w:rPr>
          <w:highlight w:val="white"/>
        </w:rPr>
      </w:pPr>
      <w:proofErr w:type="gramStart"/>
      <w:r>
        <w:rPr>
          <w:highlight w:val="white"/>
        </w:rPr>
        <w:t>cometer</w:t>
      </w:r>
      <w:proofErr w:type="gramEnd"/>
      <w:r>
        <w:rPr>
          <w:highlight w:val="white"/>
        </w:rPr>
        <w:t xml:space="preserve"> fraude fiscal;</w:t>
      </w:r>
    </w:p>
    <w:p w:rsidR="00982408" w:rsidRDefault="008F7808">
      <w:pPr>
        <w:numPr>
          <w:ilvl w:val="2"/>
          <w:numId w:val="3"/>
        </w:numPr>
        <w:tabs>
          <w:tab w:val="left" w:pos="1440"/>
        </w:tabs>
        <w:spacing w:after="240"/>
        <w:jc w:val="both"/>
        <w:rPr>
          <w:highlight w:val="white"/>
        </w:rPr>
      </w:pPr>
      <w:proofErr w:type="gramStart"/>
      <w:r>
        <w:rPr>
          <w:highlight w:val="white"/>
        </w:rPr>
        <w:t>comportar-se</w:t>
      </w:r>
      <w:proofErr w:type="gramEnd"/>
      <w:r>
        <w:rPr>
          <w:highlight w:val="white"/>
        </w:rPr>
        <w:t xml:space="preserv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 xml:space="preserve">sobre o valor estimado </w:t>
      </w:r>
      <w:proofErr w:type="gramStart"/>
      <w:r>
        <w:rPr>
          <w:rFonts w:cs="Arial"/>
          <w:color w:val="000000"/>
          <w:szCs w:val="20"/>
          <w:highlight w:val="white"/>
        </w:rPr>
        <w:t>do(s</w:t>
      </w:r>
      <w:proofErr w:type="gramEnd"/>
      <w:r>
        <w:rPr>
          <w:rFonts w:cs="Arial"/>
          <w:color w:val="000000"/>
          <w:szCs w:val="20"/>
          <w:highlight w:val="white"/>
        </w:rPr>
        <w:t>)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 xml:space="preserve">A impugnação poderá ser realizada por forma eletrônica, pelo </w:t>
      </w:r>
      <w:proofErr w:type="gramStart"/>
      <w:r>
        <w:t>e-mail</w:t>
      </w:r>
      <w:proofErr w:type="gramEnd"/>
      <w:r>
        <w:t xml:space="preserve">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w:t>
      </w:r>
      <w:proofErr w:type="gramStart"/>
      <w:r>
        <w:rPr>
          <w:b/>
          <w:u w:val="single"/>
        </w:rPr>
        <w:t>,</w:t>
      </w:r>
      <w:proofErr w:type="gramEnd"/>
      <w:r>
        <w:rPr>
          <w:b/>
          <w:u w:val="single"/>
        </w:rPr>
        <w:t xml:space="preserve"> prevalecerá sempre a descrição do Termo de Referência deste Edital</w:t>
      </w:r>
      <w:r>
        <w:t>.</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proofErr w:type="gramStart"/>
      <w:r>
        <w:rPr>
          <w:rFonts w:ascii="Calibri" w:eastAsia="Calibri" w:hAnsi="Calibri" w:cs="Calibri"/>
          <w:b/>
          <w:sz w:val="22"/>
          <w:szCs w:val="22"/>
        </w:rPr>
        <w:t xml:space="preserve"> &gt;</w:t>
      </w:r>
      <w:r>
        <w:rPr>
          <w:rFonts w:ascii="Calibri" w:eastAsia="Calibri" w:hAnsi="Calibri" w:cs="Calibri"/>
          <w:sz w:val="22"/>
          <w:szCs w:val="22"/>
        </w:rPr>
        <w:t>.</w:t>
      </w:r>
      <w:proofErr w:type="gramEnd"/>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w:t>
      </w:r>
      <w:r w:rsidR="00444AF4">
        <w:rPr>
          <w:color w:val="000000"/>
        </w:rPr>
        <w:t>30</w:t>
      </w:r>
      <w:r>
        <w:rPr>
          <w:color w:val="000000"/>
        </w:rPr>
        <w:t xml:space="preserve"> de </w:t>
      </w:r>
      <w:r w:rsidR="00041CA8">
        <w:rPr>
          <w:color w:val="000000"/>
        </w:rPr>
        <w:t>agosto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041CA8">
      <w:pPr>
        <w:spacing w:before="240" w:after="240" w:line="276" w:lineRule="auto"/>
        <w:ind w:firstLine="709"/>
        <w:jc w:val="center"/>
        <w:rPr>
          <w:b/>
          <w:color w:val="000000"/>
        </w:rPr>
      </w:pPr>
      <w:r>
        <w:rPr>
          <w:b/>
          <w:color w:val="000000"/>
        </w:rPr>
        <w:t>Fábio Medeiros de Souza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CE" w:rsidRDefault="006D4ECE">
      <w:r>
        <w:separator/>
      </w:r>
    </w:p>
  </w:endnote>
  <w:endnote w:type="continuationSeparator" w:id="0">
    <w:p w:rsidR="006D4ECE" w:rsidRDefault="006D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DD22F3">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DD22F3">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CE" w:rsidRDefault="006D4ECE">
      <w:r>
        <w:separator/>
      </w:r>
    </w:p>
  </w:footnote>
  <w:footnote w:type="continuationSeparator" w:id="0">
    <w:p w:rsidR="006D4ECE" w:rsidRDefault="006D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B813CA" w:rsidRPr="00B813CA">
      <w:rPr>
        <w:rFonts w:ascii="Verdana" w:eastAsia="Verdana" w:hAnsi="Verdana" w:cs="Verdana"/>
        <w:color w:val="000000"/>
        <w:sz w:val="16"/>
        <w:szCs w:val="16"/>
      </w:rPr>
      <w:t>23069.169536/2023-54</w:t>
    </w:r>
    <w:r w:rsidRPr="00F54378">
      <w:rPr>
        <w:noProof/>
      </w:rPr>
      <w:drawing>
        <wp:anchor distT="0" distB="0" distL="114300" distR="114300" simplePos="0" relativeHeight="251658240" behindDoc="0" locked="0" layoutInCell="1" hidden="0" allowOverlap="1" wp14:anchorId="2F76EA1E" wp14:editId="000043D0">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41CA8"/>
    <w:rsid w:val="000A5A4C"/>
    <w:rsid w:val="001004B7"/>
    <w:rsid w:val="00125EEC"/>
    <w:rsid w:val="001D1FD9"/>
    <w:rsid w:val="00227682"/>
    <w:rsid w:val="00243E2B"/>
    <w:rsid w:val="002A68AC"/>
    <w:rsid w:val="002C3451"/>
    <w:rsid w:val="002F75E4"/>
    <w:rsid w:val="00342ADD"/>
    <w:rsid w:val="00345252"/>
    <w:rsid w:val="003D4367"/>
    <w:rsid w:val="003D626B"/>
    <w:rsid w:val="00444AF4"/>
    <w:rsid w:val="004774F5"/>
    <w:rsid w:val="004867F6"/>
    <w:rsid w:val="00492AF0"/>
    <w:rsid w:val="004B3C14"/>
    <w:rsid w:val="0058650D"/>
    <w:rsid w:val="005D4098"/>
    <w:rsid w:val="0063077E"/>
    <w:rsid w:val="006D4ECE"/>
    <w:rsid w:val="00730E5C"/>
    <w:rsid w:val="00773D16"/>
    <w:rsid w:val="00785996"/>
    <w:rsid w:val="00792D55"/>
    <w:rsid w:val="00896076"/>
    <w:rsid w:val="008C3D94"/>
    <w:rsid w:val="008F7808"/>
    <w:rsid w:val="0090178A"/>
    <w:rsid w:val="00982408"/>
    <w:rsid w:val="00A3741B"/>
    <w:rsid w:val="00B3518C"/>
    <w:rsid w:val="00B813CA"/>
    <w:rsid w:val="00BA1C0C"/>
    <w:rsid w:val="00BA3644"/>
    <w:rsid w:val="00BB51D6"/>
    <w:rsid w:val="00BD7F62"/>
    <w:rsid w:val="00C65179"/>
    <w:rsid w:val="00CA0D09"/>
    <w:rsid w:val="00CC4F8B"/>
    <w:rsid w:val="00D569C7"/>
    <w:rsid w:val="00D808EA"/>
    <w:rsid w:val="00DC5C3D"/>
    <w:rsid w:val="00DD22F3"/>
    <w:rsid w:val="00E40F6F"/>
    <w:rsid w:val="00E83AEF"/>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9331</Words>
  <Characters>50390</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Admin</cp:lastModifiedBy>
  <cp:revision>16</cp:revision>
  <cp:lastPrinted>2023-08-22T15:42:00Z</cp:lastPrinted>
  <dcterms:created xsi:type="dcterms:W3CDTF">2022-03-07T18:54:00Z</dcterms:created>
  <dcterms:modified xsi:type="dcterms:W3CDTF">2023-08-30T15:30:00Z</dcterms:modified>
</cp:coreProperties>
</file>