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-427990</wp:posOffset>
            </wp:positionV>
            <wp:extent cx="640080" cy="619125"/>
            <wp:effectExtent l="0" t="0" r="7620" b="9525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br w:type="textWrapping"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 REITORIA DE ADMINISTRAÇÃO</w:t>
      </w:r>
    </w:p>
    <w:p>
      <w:pPr>
        <w:pStyle w:val="54"/>
        <w:rPr>
          <w:rFonts w:asciiTheme="minorHAnsi" w:hAnsiTheme="minorHAnsi"/>
          <w:b/>
        </w:rPr>
      </w:pPr>
    </w:p>
    <w:p>
      <w:pPr>
        <w:jc w:val="center"/>
        <w:rPr>
          <w:rFonts w:hint="default"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</w:rPr>
        <w:t>PREGÃO ELETRÔNICO Nº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 xml:space="preserve"> 32/2023</w:t>
      </w:r>
      <w:bookmarkStart w:id="2" w:name="_GoBack"/>
      <w:bookmarkEnd w:id="2"/>
    </w:p>
    <w:p>
      <w:pPr>
        <w:pStyle w:val="54"/>
        <w:rPr>
          <w:rFonts w:asciiTheme="minorHAnsi" w:hAnsiTheme="minorHAnsi"/>
          <w:b/>
        </w:rPr>
      </w:pPr>
    </w:p>
    <w:p>
      <w:pPr>
        <w:pStyle w:val="5"/>
        <w:rPr>
          <w:rFonts w:cs="Arial" w:asciiTheme="minorHAnsi" w:hAnsiTheme="minorHAnsi"/>
          <w:sz w:val="24"/>
          <w:szCs w:val="24"/>
          <w:u w:val="none"/>
        </w:rPr>
      </w:pPr>
      <w:r>
        <w:rPr>
          <w:rFonts w:cs="Arial" w:asciiTheme="minorHAnsi" w:hAnsiTheme="minorHAnsi"/>
          <w:sz w:val="24"/>
          <w:szCs w:val="24"/>
          <w:u w:val="none"/>
        </w:rPr>
        <w:t>ANEXO  X DO EDITAL</w:t>
      </w:r>
    </w:p>
    <w:p>
      <w:pPr>
        <w:rPr>
          <w:lang w:val="pt-PT"/>
        </w:rPr>
      </w:pPr>
    </w:p>
    <w:p>
      <w:pPr>
        <w:rPr>
          <w:lang w:val="pt-PT"/>
        </w:rPr>
      </w:pPr>
    </w:p>
    <w:p>
      <w:pPr>
        <w:pStyle w:val="5"/>
        <w:rPr>
          <w:rFonts w:cs="Arial" w:asciiTheme="minorHAnsi" w:hAnsiTheme="minorHAnsi"/>
          <w:sz w:val="16"/>
          <w:szCs w:val="16"/>
        </w:rPr>
      </w:pPr>
    </w:p>
    <w:p>
      <w:pPr>
        <w:pStyle w:val="5"/>
        <w:rPr>
          <w:rFonts w:cs="Arial" w:asciiTheme="minorHAnsi" w:hAnsiTheme="minorHAnsi"/>
          <w:sz w:val="20"/>
        </w:rPr>
      </w:pPr>
      <w:r>
        <w:rPr>
          <w:rFonts w:cs="Arial" w:asciiTheme="minorHAnsi" w:hAnsiTheme="minorHAnsi"/>
          <w:sz w:val="20"/>
        </w:rPr>
        <w:t>MEMÓRIA DE CÁLCULO DA PLANILHA DE CUSTO E FORMAÇÃO DE PREÇO</w:t>
      </w:r>
    </w:p>
    <w:p>
      <w:pPr>
        <w:rPr>
          <w:rFonts w:cs="Arial" w:asciiTheme="minorHAnsi" w:hAnsiTheme="minorHAnsi"/>
          <w:sz w:val="16"/>
          <w:szCs w:val="16"/>
          <w:lang w:val="pt-PT"/>
        </w:rPr>
      </w:pPr>
    </w:p>
    <w:p>
      <w:pPr>
        <w:rPr>
          <w:rFonts w:cs="Arial" w:asciiTheme="minorHAnsi" w:hAnsiTheme="minorHAnsi"/>
          <w:b/>
          <w:sz w:val="16"/>
          <w:szCs w:val="16"/>
          <w:u w:val="single"/>
          <w:lang w:val="pt-PT"/>
        </w:rPr>
      </w:pPr>
    </w:p>
    <w:p>
      <w:pPr>
        <w:pStyle w:val="6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>
      <w:pPr>
        <w:pStyle w:val="54"/>
        <w:jc w:val="both"/>
        <w:rPr>
          <w:rFonts w:ascii="Calibri" w:hAnsi="Calibri"/>
          <w:bCs/>
          <w:color w:val="auto"/>
          <w:sz w:val="22"/>
          <w:szCs w:val="22"/>
        </w:rPr>
      </w:pPr>
    </w:p>
    <w:p>
      <w:pPr>
        <w:pStyle w:val="54"/>
        <w:jc w:val="both"/>
        <w:rPr>
          <w:rFonts w:ascii="Calibri" w:hAnsi="Calibri"/>
          <w:b/>
          <w:sz w:val="22"/>
          <w:szCs w:val="22"/>
          <w:u w:val="single"/>
        </w:rPr>
      </w:pPr>
    </w:p>
    <w:p>
      <w:pPr>
        <w:rPr>
          <w:rFonts w:ascii="Calibri" w:hAnsi="Calibri" w:cs="Arial"/>
          <w:b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sz w:val="22"/>
          <w:szCs w:val="22"/>
          <w:u w:val="single"/>
          <w:lang w:val="pt-PT"/>
        </w:rPr>
        <w:t>Módulo 1 – Composição da Remuneração</w:t>
      </w:r>
    </w:p>
    <w:p>
      <w:pPr>
        <w:rPr>
          <w:rFonts w:ascii="Calibri" w:hAnsi="Calibri" w:cs="Arial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Salário Base </w:t>
      </w:r>
    </w:p>
    <w:p>
      <w:pPr>
        <w:pStyle w:val="54"/>
        <w:jc w:val="both"/>
        <w:rPr>
          <w:rStyle w:val="35"/>
          <w:rFonts w:ascii="Calibri" w:hAnsi="Calibri"/>
          <w:sz w:val="22"/>
          <w:szCs w:val="22"/>
        </w:rPr>
      </w:pPr>
    </w:p>
    <w:p>
      <w:pPr>
        <w:pStyle w:val="54"/>
        <w:jc w:val="both"/>
        <w:rPr>
          <w:rStyle w:val="35"/>
          <w:rFonts w:ascii="Calibri" w:hAnsi="Calibri"/>
          <w:sz w:val="22"/>
          <w:szCs w:val="22"/>
        </w:rPr>
      </w:pPr>
      <w:r>
        <w:rPr>
          <w:rStyle w:val="35"/>
          <w:rFonts w:ascii="Calibri" w:hAnsi="Calibri"/>
          <w:sz w:val="22"/>
          <w:szCs w:val="22"/>
        </w:rPr>
        <w:t xml:space="preserve">A empresa deverá indicar qual seu enquadramento sindical, sendo a elaboração de sua proposta de acordo com a convenção coletiva do sindicato relacionado à sua atividade preponderante (Arts. 570, 577 e 581, §2º da CLT, Art. 8º, II, CF e Acórdão TCU 1097/2019, Plenário). Os valores dos salários e benefícios dos profissionais previstos neste Edital foram considerados de acordo com o estabelecido </w:t>
      </w:r>
      <w:r>
        <w:rPr>
          <w:rStyle w:val="35"/>
          <w:rFonts w:ascii="Calibri" w:hAnsi="Calibri"/>
          <w:b/>
          <w:bCs/>
          <w:sz w:val="22"/>
          <w:szCs w:val="22"/>
        </w:rPr>
        <w:t>SINDICATO DAS EMPRESAS DE REFEIÇÃO COLETIVA DO ESTADO DO RIO DE JANEIRO</w:t>
      </w:r>
      <w:r>
        <w:rPr>
          <w:rStyle w:val="35"/>
          <w:rFonts w:ascii="Calibri" w:hAnsi="Calibri"/>
          <w:sz w:val="22"/>
          <w:szCs w:val="22"/>
        </w:rPr>
        <w:t xml:space="preserve">, por meio da Convenção Coletiva de Trabalho 2022/2023, registrada sob o nº </w:t>
      </w:r>
      <w:r>
        <w:rPr>
          <w:rStyle w:val="35"/>
          <w:rFonts w:ascii="Calibri" w:hAnsi="Calibri"/>
          <w:b/>
          <w:sz w:val="22"/>
          <w:szCs w:val="22"/>
        </w:rPr>
        <w:t>RJ002946/2022</w:t>
      </w:r>
      <w:r>
        <w:rPr>
          <w:rStyle w:val="35"/>
          <w:rFonts w:ascii="Calibri" w:hAnsi="Calibri"/>
          <w:sz w:val="22"/>
          <w:szCs w:val="22"/>
        </w:rPr>
        <w:t>.</w:t>
      </w:r>
    </w:p>
    <w:p>
      <w:pPr>
        <w:pStyle w:val="54"/>
        <w:jc w:val="both"/>
        <w:rPr>
          <w:rStyle w:val="35"/>
          <w:rFonts w:ascii="Calibri" w:hAnsi="Calibri"/>
          <w:sz w:val="22"/>
          <w:szCs w:val="22"/>
        </w:rPr>
      </w:pPr>
    </w:p>
    <w:p>
      <w:pPr>
        <w:tabs>
          <w:tab w:val="left" w:pos="2552"/>
        </w:tabs>
        <w:spacing w:before="120" w:after="120" w:line="276" w:lineRule="auto"/>
        <w:ind w:right="-15"/>
        <w:jc w:val="both"/>
        <w:rPr>
          <w:rFonts w:cs="Arial"/>
          <w:i/>
          <w:color w:val="FF0000"/>
          <w:lang w:eastAsia="en-US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 xml:space="preserve">O(s) sindicato(s) indicado(s) nos subitens acima não são de utilização obrigatória pelos licitantes (Acórdão TCU nº 369/2012), mas sempre se exigirá o cumprimento dos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acordos, dissídios ou</w:t>
      </w:r>
      <w: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 xml:space="preserve"> convenções coletivas adotados por cada licitante/contratante.</w:t>
      </w:r>
      <w:r>
        <w:rPr>
          <w:rFonts w:cs="Arial"/>
          <w:i/>
          <w:color w:val="FF0000"/>
          <w:lang w:eastAsia="en-US"/>
        </w:rPr>
        <w:t xml:space="preserve"> </w:t>
      </w:r>
    </w:p>
    <w:p>
      <w:pPr>
        <w:pStyle w:val="54"/>
        <w:jc w:val="both"/>
        <w:rPr>
          <w:rStyle w:val="35"/>
          <w:rFonts w:ascii="Calibri" w:hAnsi="Calibri"/>
          <w:b/>
          <w:bCs/>
          <w:sz w:val="22"/>
          <w:szCs w:val="22"/>
        </w:rPr>
      </w:pPr>
    </w:p>
    <w:p>
      <w:pPr>
        <w:pStyle w:val="54"/>
        <w:jc w:val="both"/>
        <w:rPr>
          <w:rStyle w:val="35"/>
          <w:rFonts w:ascii="Calibri" w:hAnsi="Calibri"/>
          <w:bCs/>
          <w:sz w:val="22"/>
          <w:szCs w:val="22"/>
          <w:highlight w:val="yellow"/>
        </w:rPr>
      </w:pPr>
      <w:r>
        <w:rPr>
          <w:rStyle w:val="35"/>
          <w:rFonts w:ascii="Calibri" w:hAnsi="Calibri"/>
          <w:sz w:val="22"/>
          <w:szCs w:val="22"/>
        </w:rPr>
        <w:t xml:space="preserve">Observação: Conforme Cláusula Terceira da CCT registrada sob o nº </w:t>
      </w:r>
      <w:r>
        <w:rPr>
          <w:rStyle w:val="35"/>
          <w:rFonts w:ascii="Calibri" w:hAnsi="Calibri"/>
          <w:b/>
          <w:sz w:val="22"/>
          <w:szCs w:val="22"/>
        </w:rPr>
        <w:t xml:space="preserve">RJ002946/2022, </w:t>
      </w:r>
      <w:r>
        <w:rPr>
          <w:rStyle w:val="35"/>
          <w:rFonts w:ascii="Calibri" w:hAnsi="Calibri"/>
          <w:bCs/>
          <w:sz w:val="22"/>
          <w:szCs w:val="22"/>
        </w:rPr>
        <w:t>o salário dos profissionais será:</w:t>
      </w:r>
    </w:p>
    <w:p>
      <w:pPr>
        <w:pStyle w:val="54"/>
        <w:jc w:val="both"/>
        <w:rPr>
          <w:rFonts w:ascii="Calibri" w:hAnsi="Calibri"/>
          <w:b/>
          <w:u w:val="single"/>
        </w:rPr>
      </w:pPr>
    </w:p>
    <w:tbl>
      <w:tblPr>
        <w:tblStyle w:val="70"/>
        <w:tblW w:w="9200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3817"/>
        <w:gridCol w:w="1298"/>
        <w:gridCol w:w="2024"/>
        <w:gridCol w:w="1420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1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817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Descrição/Especificação</w:t>
            </w:r>
          </w:p>
        </w:tc>
        <w:tc>
          <w:tcPr>
            <w:tcW w:w="1298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 de Pessoal</w:t>
            </w:r>
          </w:p>
        </w:tc>
        <w:tc>
          <w:tcPr>
            <w:tcW w:w="2024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Referência Salário</w:t>
            </w:r>
          </w:p>
        </w:tc>
        <w:tc>
          <w:tcPr>
            <w:tcW w:w="1420" w:type="dxa"/>
            <w:tcBorders>
              <w:top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Média dos salários (Proad)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Almoxarife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R$ 1.848,00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Auxiliar de Almoxarife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R$ 1.722,60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Gerente de Restaurante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R$ 2.288,00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Magarefe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R$ 1.848,00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Auxiliar de Magarefe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R$ 1.722,60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Cozinheiro Industrial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R$ 1.848,00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Auxiliar de Cozinha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R$ 1.669,80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Auxiliar de Serviços Gerais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R$ 1.639,00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17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Operador de Caixa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R$ 1.722,60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58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</w:tcPr>
          <w:p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 </w:t>
            </w:r>
          </w:p>
        </w:tc>
      </w:tr>
    </w:tbl>
    <w:p>
      <w:pPr>
        <w:spacing w:line="276" w:lineRule="auto"/>
        <w:jc w:val="both"/>
        <w:rPr>
          <w:rFonts w:ascii="Calibri" w:hAnsi="Calibri" w:cs="Arial"/>
          <w:b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 e C) Adicional de Insalubridade/Periculosidade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 para insalubridade / periculosidade.</w:t>
      </w: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Adicional Noturno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 de adicional noturno.</w:t>
      </w:r>
    </w:p>
    <w:p>
      <w:pPr>
        <w:spacing w:line="276" w:lineRule="auto"/>
        <w:jc w:val="both"/>
        <w:rPr>
          <w:rStyle w:val="8"/>
          <w:rFonts w:cs="Arial"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</w:p>
    <w:p>
      <w:pPr>
        <w:spacing w:line="276" w:lineRule="auto"/>
        <w:jc w:val="both"/>
        <w:rPr>
          <w:rFonts w:cs="Arial"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8"/>
          <w:rFonts w:cs="Arial"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Nota 1: </w:t>
      </w:r>
      <w:r>
        <w:rPr>
          <w:rFonts w:cs="Arial"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O Módulo 1 refere-se ao </w:t>
      </w:r>
      <w:r>
        <w:rPr>
          <w:rStyle w:val="8"/>
          <w:rFonts w:cs="Arial"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valor mensal devido ao empregado</w:t>
      </w:r>
      <w:r>
        <w:rPr>
          <w:rFonts w:cs="Arial"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 pela prestação do serviço no período de 12 meses.</w:t>
      </w: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E) Adicional de hora noturna reduzida</w:t>
      </w:r>
    </w:p>
    <w:p>
      <w:pPr>
        <w:autoSpaceDE w:val="0"/>
        <w:autoSpaceDN w:val="0"/>
        <w:adjustRightInd w:val="0"/>
        <w:rPr>
          <w:rFonts w:ascii="Calibri" w:hAnsi="Calibri" w:cs="Calibri" w:eastAsiaTheme="minorHAnsi"/>
          <w:color w:val="000000"/>
          <w:sz w:val="22"/>
          <w:szCs w:val="22"/>
          <w:lang w:eastAsia="en-US"/>
        </w:rPr>
      </w:pPr>
      <w:r>
        <w:rPr>
          <w:rFonts w:ascii="Calibri" w:hAnsi="Calibri" w:cs="Calibri" w:eastAsiaTheme="minorHAnsi"/>
          <w:color w:val="000000"/>
          <w:sz w:val="22"/>
          <w:szCs w:val="22"/>
          <w:lang w:eastAsia="en-US"/>
        </w:rPr>
        <w:t xml:space="preserve">Não há previsão de adicional noturno. </w:t>
      </w: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1-A) Intrajornada</w:t>
      </w:r>
    </w:p>
    <w:p>
      <w:pPr>
        <w:tabs>
          <w:tab w:val="left" w:pos="81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haverá previsão de indenização pelo intervalor de intrajornada</w:t>
      </w:r>
    </w:p>
    <w:p>
      <w:pPr>
        <w:tabs>
          <w:tab w:val="left" w:pos="8130"/>
        </w:tabs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81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Média Mensal de Dias Trabalhados (44 horas semanais) – 2ª a 6ª Feira</w:t>
      </w:r>
    </w:p>
    <w:p>
      <w:pPr>
        <w:pStyle w:val="63"/>
        <w:spacing w:beforeAutospacing="0" w:afterAutospacing="0"/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Considerando 8 feriados nacionais, 01 feriado estadual (data magna), 04 feriados municipais (incluindo sexta-feira da paixão).</w:t>
      </w: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13 feriados por ano, sendo 10 com data fixa.</w:t>
      </w: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Sendo assim, considerando 05 dias de trabalho (jornada de 44 horas), temos:</w:t>
      </w:r>
    </w:p>
    <w:p>
      <w:pPr>
        <w:rPr>
          <w:rFonts w:asciiTheme="minorHAnsi" w:hAnsiTheme="minorHAnsi"/>
          <w:iCs/>
          <w:sz w:val="22"/>
          <w:szCs w:val="22"/>
        </w:rPr>
      </w:pP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(a)</w:t>
      </w:r>
      <w:r>
        <w:rPr>
          <w:rFonts w:asciiTheme="minorHAnsi" w:hAnsiTheme="minorHAnsi"/>
          <w:iCs/>
          <w:sz w:val="22"/>
          <w:szCs w:val="22"/>
        </w:rPr>
        <w:t xml:space="preserve"> 10 x (5/7)    = 7,1429    </w:t>
      </w: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</w:t>
      </w: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Somando-se aos feriados com data móvel (03):   7,1429 + 3= </w:t>
      </w:r>
      <w:r>
        <w:rPr>
          <w:rFonts w:asciiTheme="minorHAnsi" w:hAnsiTheme="minorHAnsi"/>
          <w:b/>
          <w:iCs/>
          <w:sz w:val="22"/>
          <w:szCs w:val="22"/>
        </w:rPr>
        <w:t>10,1429</w:t>
      </w:r>
      <w:r>
        <w:rPr>
          <w:rFonts w:asciiTheme="minorHAnsi" w:hAnsiTheme="minorHAnsi"/>
          <w:iCs/>
          <w:sz w:val="22"/>
          <w:szCs w:val="22"/>
        </w:rPr>
        <w:t xml:space="preserve"> (por ano)</w:t>
      </w:r>
    </w:p>
    <w:p>
      <w:pPr>
        <w:rPr>
          <w:rFonts w:asciiTheme="minorHAnsi" w:hAnsiTheme="minorHAnsi"/>
          <w:iCs/>
          <w:sz w:val="22"/>
          <w:szCs w:val="22"/>
        </w:rPr>
      </w:pP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(b)</w:t>
      </w:r>
      <w:r>
        <w:rPr>
          <w:rFonts w:asciiTheme="minorHAnsi" w:hAnsiTheme="minorHAnsi"/>
          <w:iCs/>
          <w:sz w:val="22"/>
          <w:szCs w:val="22"/>
        </w:rPr>
        <w:t xml:space="preserve"> 365:7 = 52,1429   (semanas no ano)</w:t>
      </w: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(c)</w:t>
      </w:r>
      <w:r>
        <w:rPr>
          <w:rFonts w:asciiTheme="minorHAnsi" w:hAnsiTheme="minorHAnsi"/>
          <w:iCs/>
          <w:sz w:val="22"/>
          <w:szCs w:val="22"/>
        </w:rPr>
        <w:t xml:space="preserve"> 52,1429 x 2 = 104,2858  (dias de final de semana no ano)</w:t>
      </w: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(d)</w:t>
      </w:r>
      <w:r>
        <w:rPr>
          <w:rFonts w:asciiTheme="minorHAnsi" w:hAnsiTheme="minorHAnsi"/>
          <w:iCs/>
          <w:sz w:val="22"/>
          <w:szCs w:val="22"/>
        </w:rPr>
        <w:t xml:space="preserve"> 104,2858 + 10,1429 = 114,4287 (dias não trabalhados no ano)</w:t>
      </w:r>
    </w:p>
    <w:p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(e)</w:t>
      </w:r>
      <w:r>
        <w:rPr>
          <w:rFonts w:asciiTheme="minorHAnsi" w:hAnsiTheme="minorHAnsi"/>
          <w:iCs/>
          <w:sz w:val="22"/>
          <w:szCs w:val="22"/>
        </w:rPr>
        <w:t xml:space="preserve"> 365 – 114,4287 = 250,5713 (dias de trabalho no ano)</w:t>
      </w:r>
    </w:p>
    <w:p>
      <w:pPr>
        <w:rPr>
          <w:rFonts w:asciiTheme="minorHAnsi" w:hAnsiTheme="minorHAnsi"/>
          <w:iCs/>
          <w:color w:val="FF0000"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(f)</w:t>
      </w:r>
      <w:r>
        <w:rPr>
          <w:rFonts w:asciiTheme="minorHAnsi" w:hAnsiTheme="minorHAnsi"/>
          <w:iCs/>
          <w:sz w:val="22"/>
          <w:szCs w:val="22"/>
        </w:rPr>
        <w:t xml:space="preserve"> 250,5713 : 12 = 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20,88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trabalhados)</w:t>
      </w:r>
    </w:p>
    <w:p>
      <w:pPr>
        <w:rPr>
          <w:rFonts w:asciiTheme="minorHAnsi" w:hAnsiTheme="minorHAnsi"/>
          <w:iCs/>
          <w:color w:val="FF0000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Arial"/>
          <w:b/>
        </w:rPr>
      </w:pPr>
    </w:p>
    <w:p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o:spt="20" style="position:absolute;left:0pt;margin-left:26.6pt;margin-top:113.15pt;height:0.05pt;width:17.55pt;z-index:251660288;mso-width-relative:page;mso-height-relative:page;" filled="f" stroked="t" coordsize="21600,21600" o:gfxdata="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+w8E1gAAAAkBAAAPAAAA&#10;AAAAAAEAIAAAACIAAABkcnMvZG93bnJldi54bWxQSwECFAAUAAAACACHTuJAWGrjwt4BAADaAwAA&#10;DgAAAAAAAAABACAAAAAl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u w:val="single"/>
        </w:rPr>
        <w:t>Modulo 2 – Encargos e Benefícios Anuais, Mensais e Diários</w:t>
      </w:r>
    </w:p>
    <w:p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>Submódulo 2.1 – 13º Salário, Férias e Adicional de Férias</w:t>
      </w:r>
    </w:p>
    <w:p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Style w:val="70"/>
        <w:tblW w:w="8917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2"/>
        <w:gridCol w:w="2218"/>
        <w:gridCol w:w="839"/>
        <w:gridCol w:w="2809"/>
        <w:gridCol w:w="1667"/>
        <w:gridCol w:w="222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0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7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  <w:tc>
          <w:tcPr>
            <w:tcW w:w="15" w:type="dxa"/>
            <w:tcBorders>
              <w:top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7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0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  <w:tc>
          <w:tcPr>
            <w:tcW w:w="15" w:type="dxa"/>
            <w:shd w:val="clear" w:color="auto" w:fill="DBE5F1" w:themeFill="accent1" w:themeFillTint="33"/>
          </w:tcPr>
          <w:p/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0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7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  <w:tc>
          <w:tcPr>
            <w:tcW w:w="15" w:type="dxa"/>
          </w:tcPr>
          <w:p/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64" w:type="dxa"/>
            <w:gridSpan w:val="3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" w:type="dxa"/>
            <w:shd w:val="clear" w:color="auto" w:fill="DBE5F1" w:themeFill="accent1" w:themeFillTint="33"/>
          </w:tcPr>
          <w:p/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5" w:type="dxa"/>
            <w:gridSpan w:val="2"/>
          </w:tcPr>
          <w:p>
            <w:pPr>
              <w:ind w:right="-4"/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47"/>
                <w:rFonts w:ascii="Calibri" w:hAnsi="Calibri" w:cs="Arial"/>
                <w:sz w:val="18"/>
                <w:szCs w:val="18"/>
              </w:rPr>
              <w:footnoteReference w:id="0"/>
            </w:r>
          </w:p>
        </w:tc>
        <w:tc>
          <w:tcPr>
            <w:tcW w:w="2900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>
      <w:pPr>
        <w:jc w:val="center"/>
        <w:rPr>
          <w:rFonts w:ascii="Calibri" w:hAnsi="Calibri" w:cs="Arial"/>
        </w:rPr>
      </w:pPr>
    </w:p>
    <w:p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Style w:val="8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1: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Como a planilha de custos e formação de preços é calculada 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mensalmente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provisiona-se proporcionalmente 1/12 (um doze avos) dos valores referentes a gratificação natalina, férias e adicional de férias.</w:t>
      </w:r>
    </w:p>
    <w:p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Style w:val="8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2: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>
        <w:rPr>
          <w:rStyle w:val="8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torna-se custo não renovável.</w:t>
      </w: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>
      <w:pPr>
        <w:jc w:val="both"/>
        <w:rPr>
          <w:rFonts w:ascii="Calibri" w:hAnsi="Calibri" w:cs="Arial"/>
          <w:u w:val="single"/>
          <w:lang w:val="pt-PT"/>
        </w:rPr>
      </w:pPr>
    </w:p>
    <w:p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>
      <w:pPr>
        <w:rPr>
          <w:rFonts w:ascii="Calibri" w:hAnsi="Calibri" w:cs="Arial"/>
        </w:rPr>
      </w:pPr>
    </w:p>
    <w:tbl>
      <w:tblPr>
        <w:tblStyle w:val="70"/>
        <w:tblW w:w="9007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126"/>
        <w:gridCol w:w="850"/>
        <w:gridCol w:w="1842"/>
        <w:gridCol w:w="3344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5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4" w:type="dxa"/>
            <w:tcBorders>
              <w:top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45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5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5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/>
                <w:bCs w:val="0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  <w:p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>
              <w:rPr>
                <w:rStyle w:val="8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>
              <w:rPr>
                <w:rStyle w:val="39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  <w:p>
            <w:pPr>
              <w:rPr>
                <w:rFonts w:cs="Arial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CNAE 7820-5/00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=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RAT </w:t>
            </w:r>
            <w:r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>3% x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2% FAP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RATxFAT – </w:t>
            </w:r>
            <w:r>
              <w:rPr>
                <w:rStyle w:val="11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45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</w:tcPr>
          <w:p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45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45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</w:tcPr>
          <w:p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5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</w:tcPr>
          <w:p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45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>
      <w:pPr>
        <w:pStyle w:val="65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8"/>
          <w:rFonts w:asciiTheme="minorHAnsi" w:hAnsiTheme="minorHAnsi" w:cstheme="minorHAnsi"/>
          <w:color w:val="000000"/>
          <w:sz w:val="22"/>
          <w:szCs w:val="22"/>
        </w:rPr>
        <w:t>Nota 1:</w:t>
      </w:r>
      <w:r>
        <w:rPr>
          <w:rFonts w:asciiTheme="minorHAnsi" w:hAnsiTheme="minorHAnsi" w:cstheme="minorHAnsi"/>
          <w:color w:val="000000"/>
          <w:sz w:val="22"/>
          <w:szCs w:val="22"/>
        </w:rPr>
        <w:t> Os percentuais dos encargos previdenciários, do FGTS e demais contribuições são aqueles estabelecidos pela legislação vigente.</w:t>
      </w:r>
    </w:p>
    <w:p>
      <w:pPr>
        <w:pStyle w:val="65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>
      <w:pPr>
        <w:pStyle w:val="65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8"/>
          <w:rFonts w:asciiTheme="minorHAnsi" w:hAnsiTheme="minorHAnsi" w:cstheme="minorHAnsi"/>
          <w:color w:val="000000"/>
          <w:sz w:val="22"/>
          <w:szCs w:val="22"/>
        </w:rPr>
        <w:t>Nota 2:</w:t>
      </w:r>
      <w:r>
        <w:rPr>
          <w:rFonts w:asciiTheme="minorHAnsi" w:hAnsiTheme="minorHAnsi" w:cstheme="minorHAnsi"/>
          <w:color w:val="000000"/>
          <w:sz w:val="22"/>
          <w:szCs w:val="22"/>
        </w:rPr>
        <w:t> O SAT a depender do grau de risco do serviço irá variar entre 1%, para risco leve, de 2%, para risco médio, e de 3% de risco grave. No caso, consideraremos as alíquotas de 3%, relativa à Locação de mão de obra temporária (CNAE 7820-5-00).</w:t>
      </w:r>
    </w:p>
    <w:p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63"/>
                              <w:spacing w:beforeAutospacing="0" w:afterAutospacing="0"/>
                              <w:rPr>
                                <w:rFonts w:cs="Arial" w:asciiTheme="minorHAnsi" w:hAnsi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Fórmula dias: [(365 / 7) x 5 – 9] /12 = </w:t>
                            </w:r>
                            <w:r>
                              <w:rPr>
                                <w:rStyle w:val="8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>
                            <w:pPr>
                              <w:pStyle w:val="19"/>
                              <w:spacing w:beforeAutospacing="0" w:afterAutospacing="0"/>
                              <w:rPr>
                                <w:rFonts w:cs="Arial" w:asciiTheme="minorHAnsi" w:hAnsiTheme="minorHAns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11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>
                            <w:pPr>
                              <w:pStyle w:val="64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Forma 2" o:spid="_x0000_s1026" o:spt="2" style="position:absolute;left:0pt;margin-left:-0.05pt;margin-top:-329.35pt;height:195.45pt;width:141.95pt;mso-position-horizontal-relative:margin;mso-position-vertical-relative:margin;mso-wrap-distance-bottom:7.2pt;mso-wrap-distance-left:10.8pt;mso-wrap-distance-right:10.8pt;mso-wrap-distance-top:7.2pt;rotation:5898240f;z-index:251661312;v-text-anchor:middle;mso-width-relative:page;mso-height-relative:page;" fillcolor="#D7E4BD [1302]" filled="t" stroked="f" coordsize="21600,21600" arcsize="0.130324074074074" o:gfxdata="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vbSwDcAAAACwEAAA8AAAAAAAAAAQAgAAAAIgAAAGRycy9kb3ducmV2&#10;LnhtbFBLAQIUABQAAAAIAIdO4kBn10aW+AEAAAEEAAAOAAAAAAAAAAEAIAAAACs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3"/>
                        <w:spacing w:beforeAutospacing="0" w:afterAutospacing="0"/>
                        <w:rPr>
                          <w:rFonts w:cs="Arial" w:asciiTheme="minorHAnsi" w:hAnsi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Fórmula dias: [(365 / 7) x 5 – 9] /12 = </w:t>
                      </w:r>
                      <w:r>
                        <w:rPr>
                          <w:rStyle w:val="8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>
                      <w:pPr>
                        <w:pStyle w:val="19"/>
                        <w:spacing w:beforeAutospacing="0" w:afterAutospacing="0"/>
                        <w:rPr>
                          <w:rFonts w:cs="Arial" w:asciiTheme="minorHAnsi" w:hAnsiTheme="minorHAnsi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11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>
                      <w:pPr>
                        <w:pStyle w:val="64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12 = número de meses no ano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Style w:val="8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Esses percentuais incidem sobre o Módulo 1, o Submódulo 2.1.  </w:t>
      </w:r>
    </w:p>
    <w:p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Obs.: Incidirá apenas na linha A do Submódulo 2.1 pois, na base de cálculo no primeiro ano, consideraremos que, inicialmente, não haverá prorrogação do contrato e segundo a tabela de incidência do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GPS e FGTS não incide sobre indenizações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No segundo ano, no caso de prorrogação, utilizar somente o 1/3 constitucional.</w:t>
      </w: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OBS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.: Para fins de cálculo do GPS, FGTS e outras contribuições (item 2.2 do quadro resumo do Módulo 2), deverá ser considerado o </w:t>
      </w:r>
      <w:r>
        <w:rPr>
          <w:rFonts w:asciiTheme="minorHAnsi" w:hAnsiTheme="minorHAnsi" w:cstheme="minorHAnsi"/>
          <w:b/>
          <w:sz w:val="22"/>
          <w:szCs w:val="22"/>
          <w:lang w:val="pt-PT"/>
        </w:rPr>
        <w:t>total do Submódulo 2.2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2.1).</w:t>
      </w: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Submódulo 2.3 - Benefícios Mensais e Diários</w:t>
      </w: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>
      <w:pPr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Conforme CCT:</w:t>
      </w:r>
    </w:p>
    <w:p>
      <w:pPr>
        <w:jc w:val="both"/>
        <w:rPr>
          <w:rFonts w:ascii="Calibri" w:hAnsi="Calibri" w:cs="Arial"/>
          <w:b/>
          <w:u w:val="single"/>
          <w:lang w:val="pt-PT"/>
        </w:rPr>
      </w:pPr>
    </w:p>
    <w:tbl>
      <w:tblPr>
        <w:tblStyle w:val="70"/>
        <w:tblW w:w="7938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410"/>
        <w:gridCol w:w="4966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10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4966" w:type="dxa"/>
            <w:tcBorders>
              <w:top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6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4966" w:type="dxa"/>
            <w:shd w:val="clear" w:color="auto" w:fill="DBE5F1" w:themeFill="accent1" w:themeFillTint="33"/>
          </w:tcPr>
          <w:p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410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4966" w:type="dxa"/>
          </w:tcPr>
          <w:p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Não há previsão deste custo, pois os funcionários receberam alimentação nas dependências da Contratante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Benefício e Cidadania</w:t>
            </w:r>
          </w:p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20ª da CCT =  R$59,63, vedado qualquer desconto do trabalhador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410" w:type="dxa"/>
          </w:tcPr>
          <w:p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Benefício Assistencial</w:t>
            </w:r>
          </w:p>
        </w:tc>
        <w:tc>
          <w:tcPr>
            <w:tcW w:w="4966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42ª da CCT =  R$31,00, vedado qualquer desconto do trabalhador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" w:type="dxa"/>
          </w:tcPr>
          <w:p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Vale Compras Mensal</w:t>
            </w:r>
          </w:p>
        </w:tc>
        <w:tc>
          <w:tcPr>
            <w:tcW w:w="4966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16ª da CCT – R$255,00, descontando R$29,90 do trabalhador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" w:type="dxa"/>
          </w:tcPr>
          <w:p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410" w:type="dxa"/>
          </w:tcPr>
          <w:p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Gratificação Natalina</w:t>
            </w:r>
          </w:p>
        </w:tc>
        <w:tc>
          <w:tcPr>
            <w:tcW w:w="4966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15ª da CCT – Parcela mensal - R$255,00, descontando R$29,90 do trabalhador/12 meses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72" w:type="dxa"/>
            <w:gridSpan w:val="2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96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>
      <w:pPr>
        <w:jc w:val="both"/>
        <w:rPr>
          <w:rFonts w:ascii="Calibri" w:hAnsi="Calibri" w:cs="Arial"/>
          <w:b/>
          <w:u w:val="single"/>
          <w:lang w:val="pt-PT"/>
        </w:rPr>
      </w:pPr>
    </w:p>
    <w:p>
      <w:pPr>
        <w:jc w:val="both"/>
        <w:rPr>
          <w:rFonts w:ascii="Calibri" w:hAnsi="Calibri" w:cs="Arial"/>
          <w:b/>
          <w:u w:val="single"/>
          <w:lang w:val="pt-PT"/>
        </w:rPr>
      </w:pPr>
    </w:p>
    <w:p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>Nota 1: </w:t>
      </w:r>
      <w:r>
        <w:rPr>
          <w:rFonts w:asciiTheme="minorHAnsi" w:hAnsiTheme="minorHAnsi" w:cstheme="minorHAnsi"/>
          <w:color w:val="000000"/>
          <w:lang w:eastAsia="en-US"/>
        </w:rPr>
        <w:t>Observar a previsão dos benefícios contidos em Acordos, Convenções e Dissídios Coletivos de Trabalho e atentar-se ao disposto no art. 6º da IN 5/2017.</w:t>
      </w:r>
    </w:p>
    <w:p>
      <w:pPr>
        <w:jc w:val="both"/>
        <w:rPr>
          <w:rFonts w:ascii="Calibri" w:hAnsi="Calibri" w:cs="Arial"/>
          <w:u w:val="single"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Transporte</w:t>
      </w:r>
    </w:p>
    <w:p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a.1. Para fins de estimativa, foi considerado o valor referente ao preço da passagem de ônibus em Niterói, considerando duas passagens de ida e duas passagens de volta, com o desconto de 6% do empregado</w:t>
      </w:r>
      <w:r>
        <w:rPr>
          <w:rFonts w:asciiTheme="minorHAnsi" w:hAnsiTheme="minorHAnsi"/>
          <w:iCs/>
          <w:sz w:val="22"/>
          <w:szCs w:val="22"/>
        </w:rPr>
        <w:t>: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44h = </w:t>
      </w:r>
      <w:r>
        <w:rPr>
          <w:rFonts w:ascii="Calibri" w:hAnsi="Calibri" w:cs="Arial"/>
          <w:b/>
          <w:sz w:val="22"/>
          <w:szCs w:val="22"/>
        </w:rPr>
        <w:t xml:space="preserve">valor do transporte x nº de passagens por dia x nº de dias trabalhados – (6% x valor salário base) – </w:t>
      </w:r>
      <w:r>
        <w:rPr>
          <w:rFonts w:ascii="Calibri" w:hAnsi="Calibri" w:cs="Arial"/>
          <w:b/>
          <w:color w:val="FF0000"/>
          <w:sz w:val="22"/>
          <w:szCs w:val="22"/>
        </w:rPr>
        <w:t>5 dias na semana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R$ 4,45 x 4 x </w:t>
      </w:r>
      <w:r>
        <w:rPr>
          <w:rFonts w:asciiTheme="minorHAnsi" w:hAnsiTheme="minorHAnsi"/>
          <w:b/>
          <w:iCs/>
          <w:sz w:val="22"/>
          <w:szCs w:val="22"/>
        </w:rPr>
        <w:t>20,88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44h = </w:t>
      </w:r>
      <w:r>
        <w:rPr>
          <w:rFonts w:ascii="Calibri" w:hAnsi="Calibri" w:cs="Arial"/>
          <w:b/>
          <w:sz w:val="22"/>
          <w:szCs w:val="22"/>
        </w:rPr>
        <w:t xml:space="preserve">valor do transporte x nº de passagens por dia x nº de dias trabalhados – (6% x valor salário base) – </w:t>
      </w:r>
      <w:r>
        <w:rPr>
          <w:rFonts w:ascii="Calibri" w:hAnsi="Calibri" w:cs="Arial"/>
          <w:b/>
          <w:color w:val="FF0000"/>
          <w:sz w:val="22"/>
          <w:szCs w:val="22"/>
        </w:rPr>
        <w:t>6 dias na semana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R$ 4,45 x 4 x </w:t>
      </w:r>
      <w:r>
        <w:rPr>
          <w:rFonts w:asciiTheme="minorHAnsi" w:hAnsiTheme="minorHAnsi"/>
          <w:b/>
          <w:iCs/>
          <w:sz w:val="22"/>
          <w:szCs w:val="22"/>
        </w:rPr>
        <w:t>25,11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 xml:space="preserve">                                       </w:t>
      </w: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sz w:val="22"/>
          <w:szCs w:val="22"/>
        </w:rPr>
        <w:t xml:space="preserve">B) Auxílio-alimentação - </w:t>
      </w:r>
      <w:r>
        <w:rPr>
          <w:rFonts w:ascii="Calibri" w:hAnsi="Calibri" w:cs="Arial"/>
          <w:b/>
          <w:sz w:val="22"/>
          <w:szCs w:val="22"/>
          <w:u w:val="single"/>
          <w:lang w:val="pt-PT"/>
        </w:rPr>
        <w:t xml:space="preserve">Todos os Postos 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 para este custo, pois a Contratante fornecerá alimentação aos trabalhadores.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rPr>
          <w:rFonts w:ascii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>C) Benefício e Cidadania</w:t>
      </w: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Cláusula 20ª da CCT =  R$59,63, vedado qualquer desconto do trabalhador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Benefício Assistencial</w:t>
      </w:r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Cláusula 42ª da CCT =  R$31,00, vedado qualquer desconto do trabalhador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E) Vale Compras Mensal</w:t>
      </w:r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Cláusula 16ª da CCT – R$255,00, descontando R$29,90 do trabalhador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F) Gratificação Natalina</w:t>
      </w:r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Cláusula 15ª da CCT – Parcela mensal - R$255,00, descontando R$29,90 do trabalhador/12 meses</w:t>
      </w:r>
    </w:p>
    <w:p>
      <w:pPr>
        <w:jc w:val="both"/>
        <w:rPr>
          <w:rFonts w:ascii="Calibri" w:hAnsi="Calibri" w:cs="Arial"/>
          <w:sz w:val="18"/>
          <w:szCs w:val="18"/>
        </w:rPr>
      </w:pPr>
    </w:p>
    <w:p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Módulo 3 – Provisão para Rescisão</w:t>
      </w:r>
    </w:p>
    <w:p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Style w:val="70"/>
        <w:tblW w:w="7938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5"/>
        <w:gridCol w:w="3119"/>
        <w:gridCol w:w="1844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9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tcBorders>
              <w:top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cs="Arial"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Aviso prévio indenizado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>
              <w:rPr>
                <w:rFonts w:cs="Arial" w:asciiTheme="minorHAnsi" w:hAnsiTheme="minorHAnsi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  <w:t>Art. 7º, XXI, CF/88,</w:t>
            </w:r>
          </w:p>
          <w:p>
            <w:pPr>
              <w:rPr>
                <w:rFonts w:cs="Arial" w:asciiTheme="minorHAnsi" w:hAnsiTheme="minorHAnsi"/>
                <w:sz w:val="18"/>
                <w:szCs w:val="18"/>
                <w:lang w:val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  <w:t>477, 487 e 491 CLT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0" w:type="dxa"/>
          </w:tcPr>
          <w:p>
            <w:pPr>
              <w:jc w:val="center"/>
              <w:rPr>
                <w:rFonts w:cs="Arial"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5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</w:tcPr>
          <w:p>
            <w:pP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</w:tcPr>
          <w:p>
            <w:pP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  <w:t>Súmula nº 305 do TST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cs="Arial"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Zerado. 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  <w:t>Leis n.ºs 8.036/90 e</w:t>
            </w:r>
          </w:p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  <w:t>9.491/97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0" w:type="dxa"/>
          </w:tcPr>
          <w:p>
            <w:pPr>
              <w:jc w:val="center"/>
              <w:rPr>
                <w:rFonts w:cs="Arial"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Aviso Prévio Trabalhado</w:t>
            </w:r>
          </w:p>
        </w:tc>
        <w:tc>
          <w:tcPr>
            <w:tcW w:w="3119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[(Remuneração + benefícios mensais e diários não dedutíveis, ex. beneficio social familiar) / dias do mês) / meses do ano] x 7 dias de redução da jornada.</w:t>
            </w:r>
          </w:p>
        </w:tc>
        <w:tc>
          <w:tcPr>
            <w:tcW w:w="1843" w:type="dxa"/>
          </w:tcPr>
          <w:p>
            <w:pP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  <w:t>Art. 7º, XXI, CF/88,</w:t>
            </w:r>
          </w:p>
          <w:p>
            <w:pPr>
              <w:rPr>
                <w:rFonts w:cs="Arial" w:asciiTheme="minorHAnsi" w:hAnsiTheme="minorHAnsi"/>
                <w:sz w:val="18"/>
                <w:szCs w:val="18"/>
                <w:lang w:val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cs="Arial"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jc w:val="center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0" w:type="dxa"/>
          </w:tcPr>
          <w:p>
            <w:pPr>
              <w:jc w:val="center"/>
              <w:rPr>
                <w:rFonts w:cs="Arial"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125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9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  <w:p>
            <w:pPr>
              <w:rPr>
                <w:rFonts w:cs="Arial" w:asciiTheme="minorHAnsi" w:hAnsiTheme="minorHAnsi"/>
                <w:sz w:val="18"/>
                <w:szCs w:val="18"/>
              </w:rPr>
            </w:pPr>
          </w:p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 xml:space="preserve">Remuneração x </w:t>
            </w:r>
            <w:r>
              <w:rPr>
                <w:rFonts w:cs="Arial" w:asciiTheme="minorHAnsi" w:hAnsiTheme="minorHAnsi"/>
                <w:b/>
                <w:color w:val="FF0000"/>
                <w:sz w:val="18"/>
                <w:szCs w:val="18"/>
              </w:rPr>
              <w:t xml:space="preserve">4% </w:t>
            </w:r>
            <w:r>
              <w:rPr>
                <w:rFonts w:cs="Arial" w:asciiTheme="minorHAnsi" w:hAnsiTheme="minorHAnsi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</w:tcPr>
          <w:p>
            <w:pP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  <w:t>Art. 7º, XXI, CF/88,</w:t>
            </w:r>
          </w:p>
          <w:p>
            <w:pPr>
              <w:rPr>
                <w:rFonts w:cs="Arial" w:asciiTheme="minorHAnsi" w:hAnsiTheme="minorHAnsi"/>
                <w:sz w:val="18"/>
                <w:szCs w:val="18"/>
                <w:lang w:val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cs="Arial" w:asciiTheme="minorHAnsi" w:hAnsiTheme="minorHAnsi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 w:eastAsiaTheme="minorHAnsi"/>
                <w:sz w:val="18"/>
                <w:szCs w:val="18"/>
                <w:lang w:eastAsia="en-US"/>
              </w:rPr>
            </w:pPr>
          </w:p>
        </w:tc>
      </w:tr>
    </w:tbl>
    <w:p>
      <w:pPr>
        <w:ind w:left="426"/>
        <w:jc w:val="both"/>
        <w:rPr>
          <w:rFonts w:cs="Arial" w:asciiTheme="minorHAnsi" w:hAnsiTheme="minorHAnsi" w:eastAsiaTheme="minorHAnsi"/>
          <w:sz w:val="16"/>
          <w:szCs w:val="16"/>
          <w:lang w:eastAsia="en-US"/>
        </w:rPr>
      </w:pPr>
      <w:r>
        <w:rPr>
          <w:rFonts w:cs="Arial" w:asciiTheme="minorHAnsi" w:hAnsiTheme="minorHAnsi" w:eastAsiaTheme="minorHAnsi"/>
          <w:sz w:val="16"/>
          <w:szCs w:val="16"/>
          <w:lang w:eastAsia="en-US"/>
        </w:rPr>
        <w:t>OBSERVAÇÕES: Nota Técnica nº 652/2017 - MP</w:t>
      </w:r>
    </w:p>
    <w:p>
      <w:pPr>
        <w:ind w:left="426"/>
        <w:jc w:val="both"/>
        <w:rPr>
          <w:rFonts w:cs="Arial" w:asciiTheme="minorHAnsi" w:hAnsiTheme="minorHAnsi" w:eastAsiaTheme="minorHAnsi"/>
          <w:sz w:val="16"/>
          <w:szCs w:val="16"/>
          <w:lang w:eastAsia="en-US"/>
        </w:rPr>
      </w:pPr>
    </w:p>
    <w:p>
      <w:pPr>
        <w:ind w:left="426"/>
        <w:jc w:val="both"/>
        <w:rPr>
          <w:rFonts w:cs="Arial" w:asciiTheme="minorHAnsi" w:hAnsiTheme="minorHAnsi" w:eastAsiaTheme="minorHAnsi"/>
          <w:sz w:val="16"/>
          <w:szCs w:val="16"/>
          <w:lang w:eastAsia="en-US"/>
        </w:rPr>
      </w:pPr>
    </w:p>
    <w:p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Módulo 4 – Custo de Reposição de Profissional Ausente </w:t>
      </w:r>
    </w:p>
    <w:p>
      <w:pPr>
        <w:rPr>
          <w:rFonts w:ascii="Calibri" w:hAnsi="Calibri" w:cs="Arial"/>
          <w:sz w:val="22"/>
          <w:szCs w:val="22"/>
        </w:rPr>
      </w:pPr>
    </w:p>
    <w:p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>Submódulo 4.1 – Ausências Legais</w:t>
      </w:r>
    </w:p>
    <w:p>
      <w:pPr>
        <w:rPr>
          <w:rFonts w:ascii="Calibri" w:hAnsi="Calibri" w:cs="Arial"/>
          <w:lang w:val="pt-PT"/>
        </w:rPr>
      </w:pPr>
    </w:p>
    <w:tbl>
      <w:tblPr>
        <w:tblStyle w:val="70"/>
        <w:tblW w:w="9351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719"/>
        <w:gridCol w:w="2601"/>
        <w:gridCol w:w="4518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2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64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314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531" w:type="dxa"/>
            <w:tcBorders>
              <w:top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4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>
            <w:pPr>
              <w:jc w:val="both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-</w:t>
            </w:r>
          </w:p>
          <w:p>
            <w:pPr>
              <w:jc w:val="both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64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314" w:type="dxa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AL= nDR(AL) x CDR / 12</w:t>
            </w:r>
          </w:p>
        </w:tc>
        <w:tc>
          <w:tcPr>
            <w:tcW w:w="3531" w:type="dxa"/>
          </w:tcPr>
          <w:p>
            <w:pP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  <w:t>Art. 473 da CLT / Acórdão TCU 1.753/2008:  Calculado segundo estimativa do MPOG (manual de preenchimento, pg 54).</w:t>
            </w:r>
          </w:p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nDR(AL)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nº médio anual de dias de ausências legais por ano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4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LP= nDR(LP) x % LP x CDR/12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>
            <w:pP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  <w:t>Art. 7º, XIX, CF/88 e</w:t>
            </w:r>
          </w:p>
          <w:p>
            <w:pP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  <w:t>10, § 1º, da CLT.</w:t>
            </w:r>
          </w:p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Manual de Preenchimento de Planilhas do MPOG 2011 (pg 27):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64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314" w:type="dxa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AT= nDR(AT) x % AT x CDR/12</w:t>
            </w:r>
          </w:p>
        </w:tc>
        <w:tc>
          <w:tcPr>
            <w:tcW w:w="3531" w:type="dxa"/>
          </w:tcPr>
          <w:p>
            <w:pP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  <w:t>Arts. 19 a 23 c/c § 2º, Art. 43 da Lei 8.213/91.</w:t>
            </w:r>
          </w:p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Manual de Preenchimento de Planilhas do MPOG 2011 (pg 28):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empregados se acidentam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 dias (nº de dias corridos de licença pagos pelo empregador).</w:t>
            </w:r>
          </w:p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4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>
            <w:pPr>
              <w:pStyle w:val="58"/>
              <w:ind w:left="-70"/>
              <w:jc w:val="both"/>
              <w:rPr>
                <w:rFonts w:cs="Arial" w:asciiTheme="minorHAnsi" w:hAnsiTheme="minorHAnsi" w:eastAsiaTheme="minorHAnsi"/>
                <w:sz w:val="16"/>
                <w:szCs w:val="16"/>
                <w:lang w:val="en-US" w:eastAsia="en-US"/>
              </w:rPr>
            </w:pPr>
            <w:r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  <w:t xml:space="preserve">(*) </w:t>
            </w:r>
            <w:r>
              <w:rPr>
                <w:rFonts w:cs="Arial" w:asciiTheme="minorHAnsi" w:hAnsiTheme="minorHAnsi" w:eastAsiaTheme="minorHAnsi"/>
                <w:sz w:val="16"/>
                <w:szCs w:val="16"/>
                <w:lang w:val="en-US" w:eastAsia="en-US"/>
              </w:rPr>
              <w:t>AMT: FPAM + (BMDND x 3,95 x  % a.a AM) : 12 + IAM</w:t>
            </w:r>
          </w:p>
          <w:p>
            <w:pPr>
              <w:jc w:val="center"/>
              <w:rPr>
                <w:rFonts w:cs="Arial" w:asciiTheme="minorHAnsi" w:hAnsiTheme="minorHAnsi" w:eastAsia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531" w:type="dxa"/>
            <w:shd w:val="clear" w:color="auto" w:fill="DBE5F1" w:themeFill="accent1" w:themeFillTint="33"/>
          </w:tcPr>
          <w:p>
            <w:pPr>
              <w:rPr>
                <w:rStyle w:val="11"/>
                <w:rFonts w:asciiTheme="minorHAnsi" w:hAnsiTheme="minorHAnsi"/>
                <w:i w:val="0"/>
                <w:sz w:val="18"/>
                <w:szCs w:val="18"/>
                <w:highlight w:val="white"/>
              </w:rPr>
            </w:pPr>
            <w:r>
              <w:rPr>
                <w:rStyle w:val="11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>
            <w:r>
              <w:rPr>
                <w:rFonts w:ascii="Calibri" w:hAnsi="Calibri" w:cs="Arial"/>
                <w:b/>
                <w:sz w:val="18"/>
                <w:szCs w:val="18"/>
              </w:rPr>
              <w:t>Considerando os dados do IBGE 2021, a taxa de fecundidade no estado do Rio de Janeiro é de 1,72% &lt;</w:t>
            </w:r>
            <w:r>
              <w:t>https://www.ibge.gov.br/apps/populacao/projecao/&gt;. Acesso em 23/05/2021)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>
            <w:pPr>
              <w:rPr>
                <w:rFonts w:cs="Arial" w:asciiTheme="minorHAnsi" w:hAnsiTheme="minorHAnsi"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Considerando dados de contratos anteriores com tipo de serviço assemelhado, 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 xml:space="preserve">temos que aproximadamente 12% de mulheres do número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total de trabalhadores. Sendo assim, a percentagem de afastamento maternidade é 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de 12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% x 1,72%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 xml:space="preserve"> = 0,21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42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964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314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1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  <w:t>-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2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DBE5F1" w:themeFill="accent1" w:themeFillTint="33"/>
          </w:tcPr>
          <w:p>
            <w:pPr>
              <w:rPr>
                <w:rFonts w:ascii="Calibri" w:hAnsi="Calibri" w:cs="Arial" w:eastAsiaTheme="minorHAnsi"/>
                <w:sz w:val="18"/>
                <w:szCs w:val="18"/>
                <w:lang w:eastAsia="en-US"/>
              </w:rPr>
            </w:pPr>
          </w:p>
        </w:tc>
      </w:tr>
    </w:tbl>
    <w:p>
      <w:pPr>
        <w:ind w:left="426"/>
        <w:jc w:val="both"/>
        <w:rPr>
          <w:rStyle w:val="8"/>
          <w:rFonts w:cs="Arial" w:asciiTheme="minorHAnsi" w:hAnsiTheme="minorHAnsi"/>
          <w:color w:val="000000"/>
          <w:sz w:val="16"/>
          <w:szCs w:val="16"/>
          <w:shd w:val="clear" w:color="auto" w:fill="FFFFFF"/>
        </w:rPr>
      </w:pPr>
    </w:p>
    <w:p>
      <w:pPr>
        <w:ind w:left="426"/>
        <w:rPr>
          <w:rFonts w:cs="Arial" w:asciiTheme="minorHAnsi" w:hAnsiTheme="minorHAnsi"/>
          <w:color w:val="000000"/>
          <w:sz w:val="22"/>
          <w:szCs w:val="22"/>
          <w:highlight w:val="white"/>
        </w:rPr>
      </w:pPr>
      <w:r>
        <w:rPr>
          <w:rStyle w:val="8"/>
          <w:rFonts w:cs="Arial" w:asciiTheme="minorHAnsi" w:hAnsiTheme="minorHAnsi"/>
          <w:color w:val="000000"/>
          <w:sz w:val="22"/>
          <w:szCs w:val="22"/>
          <w:shd w:val="clear" w:color="auto" w:fill="FFFFFF"/>
        </w:rPr>
        <w:t>Nota 1: </w:t>
      </w:r>
      <w:r>
        <w:rPr>
          <w:rFonts w:cs="Arial" w:asciiTheme="minorHAnsi" w:hAnsiTheme="minorHAnsi"/>
          <w:color w:val="000000"/>
          <w:sz w:val="22"/>
          <w:szCs w:val="22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>
      <w:pPr>
        <w:ind w:left="426"/>
        <w:rPr>
          <w:rFonts w:cs="Arial" w:asciiTheme="minorHAnsi" w:hAnsiTheme="minorHAnsi" w:eastAsiaTheme="minorHAnsi"/>
          <w:sz w:val="22"/>
          <w:szCs w:val="22"/>
          <w:lang w:eastAsia="en-US"/>
        </w:rPr>
      </w:pPr>
    </w:p>
    <w:p>
      <w:pPr>
        <w:ind w:left="426"/>
        <w:rPr>
          <w:rFonts w:cs="Arial" w:asciiTheme="minorHAnsi" w:hAnsiTheme="minorHAnsi" w:eastAsiaTheme="minorHAnsi"/>
          <w:b/>
          <w:sz w:val="22"/>
          <w:szCs w:val="22"/>
          <w:u w:val="single"/>
          <w:lang w:eastAsia="en-US"/>
        </w:rPr>
      </w:pPr>
      <w:r>
        <w:rPr>
          <w:rFonts w:cs="Arial" w:asciiTheme="minorHAnsi" w:hAnsiTheme="minorHAnsi" w:eastAsiaTheme="minorHAnsi"/>
          <w:b/>
          <w:sz w:val="22"/>
          <w:szCs w:val="22"/>
          <w:u w:val="single"/>
          <w:lang w:eastAsia="en-US"/>
        </w:rPr>
        <w:t>OBSERVAÇÕES:</w:t>
      </w:r>
    </w:p>
    <w:p>
      <w:pPr>
        <w:ind w:left="426"/>
        <w:rPr>
          <w:rFonts w:cs="Arial" w:asciiTheme="minorHAnsi" w:hAnsiTheme="minorHAnsi" w:eastAsiaTheme="minorHAnsi"/>
          <w:b/>
          <w:sz w:val="22"/>
          <w:szCs w:val="22"/>
          <w:u w:val="single"/>
          <w:lang w:eastAsia="en-US"/>
        </w:rPr>
      </w:pPr>
    </w:p>
    <w:p>
      <w:pPr>
        <w:pStyle w:val="58"/>
        <w:numPr>
          <w:ilvl w:val="0"/>
          <w:numId w:val="1"/>
        </w:numPr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cs="Arial" w:asciiTheme="minorHAnsi" w:hAnsiTheme="minorHAnsi" w:eastAsiaTheme="minorHAnsi"/>
          <w:sz w:val="22"/>
          <w:szCs w:val="22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cs="Arial" w:asciiTheme="minorHAnsi" w:hAnsiTheme="minorHAnsi" w:eastAsiaTheme="minorHAnsi"/>
          <w:sz w:val="22"/>
          <w:szCs w:val="22"/>
          <w:lang w:eastAsia="en-US"/>
        </w:rPr>
        <w:t xml:space="preserve">                           Custo mensal do repositor (mód. 1 + mód. 2 + mod. 3 + maternidade + mód. 5 – (transp. – aliment. – equip.  – materiais)</w:t>
      </w:r>
    </w:p>
    <w:p>
      <w:pPr>
        <w:rPr>
          <w:sz w:val="22"/>
          <w:szCs w:val="22"/>
        </w:rPr>
      </w:pPr>
      <w:r>
        <w:rPr>
          <w:rFonts w:cs="Arial" w:asciiTheme="minorHAnsi" w:hAnsiTheme="minorHAnsi" w:eastAsiaTheme="minorHAnsi"/>
          <w:b/>
          <w:sz w:val="22"/>
          <w:szCs w:val="22"/>
          <w:lang w:eastAsia="en-US"/>
        </w:rPr>
        <w:t xml:space="preserve">                                               CDR</w:t>
      </w:r>
      <w:r>
        <w:rPr>
          <w:rFonts w:cs="Arial" w:asciiTheme="minorHAnsi" w:hAnsiTheme="minorHAnsi" w:eastAsiaTheme="minorHAnsi"/>
          <w:sz w:val="22"/>
          <w:szCs w:val="22"/>
          <w:lang w:eastAsia="en-US"/>
        </w:rPr>
        <w:t xml:space="preserve"> =                                                 _____________________________________________</w:t>
      </w: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cs="Arial" w:asciiTheme="minorHAnsi" w:hAnsiTheme="minorHAnsi" w:eastAsiaTheme="minorHAnsi"/>
          <w:sz w:val="22"/>
          <w:szCs w:val="22"/>
          <w:lang w:eastAsia="en-US"/>
        </w:rPr>
        <w:t xml:space="preserve">                                  Dias do mês (30)</w:t>
      </w: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</w:p>
    <w:p>
      <w:pPr>
        <w:pStyle w:val="58"/>
        <w:numPr>
          <w:ilvl w:val="0"/>
          <w:numId w:val="1"/>
        </w:numPr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cs="Arial" w:asciiTheme="minorHAnsi" w:hAnsiTheme="minorHAnsi" w:eastAsiaTheme="minorHAnsi"/>
          <w:sz w:val="22"/>
          <w:szCs w:val="22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refeição, etc.</w:t>
      </w: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</w:p>
    <w:p>
      <w:pPr>
        <w:pStyle w:val="58"/>
        <w:numPr>
          <w:ilvl w:val="0"/>
          <w:numId w:val="1"/>
        </w:numPr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cs="Arial" w:asciiTheme="minorHAnsi" w:hAnsiTheme="minorHAnsi" w:eastAsiaTheme="minorHAnsi"/>
          <w:sz w:val="22"/>
          <w:szCs w:val="22"/>
          <w:lang w:eastAsia="en-US"/>
        </w:rPr>
        <w:t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>
      <w:pPr>
        <w:pStyle w:val="58"/>
        <w:rPr>
          <w:rFonts w:cs="Arial" w:asciiTheme="minorHAnsi" w:hAnsiTheme="minorHAnsi" w:eastAsiaTheme="minorHAnsi"/>
          <w:b/>
          <w:sz w:val="22"/>
          <w:szCs w:val="22"/>
          <w:u w:val="single"/>
          <w:lang w:eastAsia="en-US"/>
        </w:rPr>
      </w:pPr>
    </w:p>
    <w:p>
      <w:pPr>
        <w:pStyle w:val="58"/>
        <w:ind w:left="786"/>
        <w:rPr>
          <w:rFonts w:cs="Arial" w:asciiTheme="minorHAnsi" w:hAnsiTheme="minorHAnsi" w:eastAsiaTheme="minorHAnsi"/>
          <w:b/>
          <w:sz w:val="22"/>
          <w:szCs w:val="22"/>
          <w:u w:val="single"/>
          <w:lang w:eastAsia="en-US"/>
        </w:rPr>
      </w:pPr>
      <w:r>
        <w:rPr>
          <w:rFonts w:cs="Arial" w:asciiTheme="minorHAnsi" w:hAnsiTheme="minorHAnsi" w:eastAsiaTheme="minorHAnsi"/>
          <w:b/>
          <w:sz w:val="22"/>
          <w:szCs w:val="22"/>
          <w:u w:val="single"/>
          <w:lang w:eastAsia="en-US"/>
        </w:rPr>
        <w:t xml:space="preserve">CÁLCULO DO </w:t>
      </w:r>
      <w:r>
        <w:rPr>
          <w:rFonts w:cs="Arial" w:asciiTheme="minorHAnsi" w:hAnsiTheme="minorHAnsi"/>
          <w:b/>
          <w:color w:val="FF0000"/>
          <w:sz w:val="22"/>
          <w:szCs w:val="22"/>
          <w:shd w:val="clear" w:color="auto" w:fill="FFFFFF"/>
        </w:rPr>
        <w:t>SUBSTITUTO NA COBERTURA DE AFASTAMENTO MATERNIDADE</w:t>
      </w:r>
      <w:r>
        <w:rPr>
          <w:rFonts w:cs="Arial" w:asciiTheme="minorHAnsi" w:hAnsiTheme="minorHAnsi"/>
          <w:color w:val="FF0000"/>
          <w:sz w:val="22"/>
          <w:szCs w:val="22"/>
        </w:rPr>
        <w:t xml:space="preserve"> </w:t>
      </w:r>
      <w:r>
        <w:rPr>
          <w:rFonts w:cs="Arial" w:asciiTheme="minorHAnsi" w:hAnsiTheme="minorHAnsi"/>
          <w:sz w:val="22"/>
          <w:szCs w:val="22"/>
        </w:rPr>
        <w:t>(*)</w:t>
      </w:r>
    </w:p>
    <w:p>
      <w:pPr>
        <w:pStyle w:val="58"/>
        <w:ind w:left="786"/>
        <w:rPr>
          <w:rFonts w:cs="Arial" w:asciiTheme="minorHAnsi" w:hAnsiTheme="minorHAnsi" w:eastAsiaTheme="minorHAnsi"/>
          <w:b/>
          <w:sz w:val="22"/>
          <w:szCs w:val="22"/>
          <w:u w:val="single"/>
          <w:lang w:eastAsia="en-US"/>
        </w:rPr>
      </w:pP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val="en-US" w:eastAsia="en-US"/>
        </w:rPr>
      </w:pPr>
      <w:r>
        <w:rPr>
          <w:rFonts w:cs="Arial" w:asciiTheme="minorHAnsi" w:hAnsiTheme="minorHAnsi" w:eastAsiaTheme="minorHAnsi"/>
          <w:sz w:val="22"/>
          <w:szCs w:val="22"/>
          <w:lang w:val="en-US" w:eastAsia="en-US"/>
        </w:rPr>
        <w:t>AMT: FPAM + (BMDND x 3,95 x  % a.a AM) : 12 + IAM</w:t>
      </w: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val="en-US" w:eastAsia="en-US"/>
        </w:rPr>
      </w:pP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cs="Arial" w:asciiTheme="minorHAnsi" w:hAnsiTheme="minorHAnsi" w:eastAsiaTheme="minorHAnsi"/>
          <w:sz w:val="22"/>
          <w:szCs w:val="22"/>
          <w:lang w:eastAsia="en-US"/>
        </w:rPr>
        <w:t>FPAM (</w:t>
      </w:r>
      <w:r>
        <w:rPr>
          <w:rFonts w:cs="Arial" w:asciiTheme="minorHAnsi" w:hAnsiTheme="minorHAnsi" w:eastAsiaTheme="minorHAnsi"/>
          <w:i/>
          <w:sz w:val="22"/>
          <w:szCs w:val="22"/>
          <w:lang w:eastAsia="en-US"/>
        </w:rPr>
        <w:t>Ferias proporcionais sobre o afastamento maternidade</w:t>
      </w:r>
      <w:r>
        <w:rPr>
          <w:rFonts w:cs="Arial" w:asciiTheme="minorHAnsi" w:hAnsiTheme="minorHAnsi" w:eastAsiaTheme="minorHAnsi"/>
          <w:sz w:val="22"/>
          <w:szCs w:val="22"/>
          <w:lang w:eastAsia="en-US"/>
        </w:rPr>
        <w:t>) = [(F + AF) x 3,95/12)]</w:t>
      </w: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cs="Arial" w:asciiTheme="minorHAnsi" w:hAnsiTheme="minorHAnsi" w:eastAsiaTheme="minorHAnsi"/>
          <w:sz w:val="22"/>
          <w:szCs w:val="22"/>
          <w:lang w:eastAsia="en-US"/>
        </w:rPr>
        <w:t>IAM (</w:t>
      </w:r>
      <w:r>
        <w:rPr>
          <w:rFonts w:cs="Arial" w:asciiTheme="minorHAnsi" w:hAnsiTheme="minorHAnsi" w:eastAsiaTheme="minorHAnsi"/>
          <w:i/>
          <w:sz w:val="22"/>
          <w:szCs w:val="22"/>
          <w:lang w:eastAsia="en-US"/>
        </w:rPr>
        <w:t>Incidência do submódulo 2.2 sobre o afastamento maternidade</w:t>
      </w:r>
      <w:r>
        <w:rPr>
          <w:rFonts w:cs="Arial" w:asciiTheme="minorHAnsi" w:hAnsiTheme="minorHAnsi" w:eastAsiaTheme="minorHAnsi"/>
          <w:sz w:val="22"/>
          <w:szCs w:val="22"/>
          <w:lang w:eastAsia="en-US"/>
        </w:rPr>
        <w:t>) = [(R + 13º) x %TE (alíquota encargos) x 3,95)] x %AM : 12</w:t>
      </w: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ascii="Calibri" w:hAnsi="Calibri" w:cs="Arial" w:eastAsiaTheme="minorHAnsi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>
                            <w:pPr>
                              <w:pStyle w:val="66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>
                            <w:pPr>
                              <w:pStyle w:val="6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6" o:spid="_x0000_s1026" o:spt="1" style="position:absolute;left:0pt;margin-left:83.35pt;margin-top:4.6pt;height:37.9pt;width:274pt;z-index:251661312;mso-width-relative:page;mso-height-relative:page;" fillcolor="#DDD9C3 [2894]" filled="t" stroked="t" coordsize="21600,21600" o:gfxdata="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39QB3WAAAACAEAAA8AAAAAAAAAAQAg&#10;AAAAIgAAAGRycy9kb3ducmV2LnhtbFBLAQIUABQAAAAIAIdO4kBHSTgU1wEAAN4DAAAOAAAAAAAA&#10;AAEAIAAAACUBAABkcnMvZTJvRG9jLnhtbFBLBQYAAAAABgAGAFkBAABuBQAAAAA=&#10;">
                <v:fill on="t" focussize="0,0"/>
                <v:stroke weight="0.51023622047244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66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>
                      <w:pPr>
                        <w:pStyle w:val="66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>
                      <w:pPr>
                        <w:pStyle w:val="6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</w:p>
    <w:p>
      <w:pPr>
        <w:pStyle w:val="58"/>
        <w:ind w:left="786"/>
        <w:rPr>
          <w:rFonts w:cs="Arial" w:asciiTheme="minorHAnsi" w:hAnsiTheme="minorHAnsi" w:eastAsiaTheme="minorHAnsi"/>
          <w:sz w:val="22"/>
          <w:szCs w:val="22"/>
          <w:lang w:eastAsia="en-US"/>
        </w:rPr>
      </w:pPr>
    </w:p>
    <w:p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 xml:space="preserve">Submódulo 4.2 – </w:t>
      </w:r>
      <w:r>
        <w:rPr>
          <w:rStyle w:val="8"/>
          <w:rFonts w:cs="Arial" w:asciiTheme="minorHAnsi" w:hAnsiTheme="minorHAnsi"/>
          <w:b w:val="0"/>
          <w:color w:val="000000"/>
          <w:sz w:val="22"/>
          <w:szCs w:val="22"/>
          <w:u w:val="single"/>
          <w:shd w:val="clear" w:color="auto" w:fill="FFFFFF"/>
        </w:rPr>
        <w:t>Substituto na Intrajornada</w:t>
      </w:r>
    </w:p>
    <w:p>
      <w:pPr>
        <w:tabs>
          <w:tab w:val="left" w:pos="813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haverá previsão de indenização pelo intervalor de intrajornada.</w:t>
      </w:r>
    </w:p>
    <w:p>
      <w:pPr>
        <w:jc w:val="both"/>
        <w:rPr>
          <w:rFonts w:ascii="Calibri" w:hAnsi="Calibri" w:cs="Arial"/>
        </w:rPr>
      </w:pPr>
    </w:p>
    <w:p>
      <w:pPr>
        <w:jc w:val="both"/>
        <w:rPr>
          <w:rFonts w:ascii="Calibri" w:hAnsi="Calibri" w:cs="Arial"/>
          <w:b/>
          <w:u w:val="single"/>
        </w:rPr>
      </w:pPr>
    </w:p>
    <w:p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Módulo 5 – Insumos Diversos</w:t>
      </w:r>
    </w:p>
    <w:p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Uniformes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É considerado os valores praticados no mercado para uniforme e EPIS 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Quantidade estimada por ano, sendo 1 (hum) conjunto na admissão e mais 1 (um) conjunto a cada 6 (seis) meses, conforme Cláusula 34ª da CCT 2022/2023.</w:t>
      </w:r>
    </w:p>
    <w:p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70"/>
        <w:tblW w:w="10151" w:type="dxa"/>
        <w:tblInd w:w="-572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804"/>
        <w:gridCol w:w="662"/>
        <w:gridCol w:w="759"/>
        <w:gridCol w:w="999"/>
        <w:gridCol w:w="993"/>
        <w:gridCol w:w="306"/>
        <w:gridCol w:w="1322"/>
        <w:gridCol w:w="62"/>
        <w:gridCol w:w="970"/>
        <w:gridCol w:w="817"/>
        <w:gridCol w:w="981"/>
        <w:gridCol w:w="4"/>
        <w:gridCol w:w="107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300" w:hRule="atLeast"/>
        </w:trPr>
        <w:tc>
          <w:tcPr>
            <w:tcW w:w="10000" w:type="dxa"/>
            <w:gridSpan w:val="13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COMPOSIÇÃO DE CUSTO DE UNIFORME PARA O CARGO DE AUXILIAR DE PESSOAL E OPERADOR DE CAIXA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</w:tblPrEx>
        <w:trPr>
          <w:gridAfter w:val="2"/>
          <w:wAfter w:w="157" w:type="dxa"/>
          <w:trHeight w:val="12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04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(A) QUANT. ANUAL POR FUNCIONÁRIO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(B) QUANT. DE FUNCIONÁRIOS QUE IRÃO RECEBER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(C) VALOR UNITÁRIO</w:t>
            </w:r>
          </w:p>
        </w:tc>
        <w:tc>
          <w:tcPr>
            <w:tcW w:w="1518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(D)= (A)x(B)x(C)  VALOR TOTAL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7" w:type="dxa"/>
          <w:trHeight w:val="129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Calça Unissex, Material: Jeans, Modelo: Tradicional, Tipo Bolso: Lateral E Traseiro, Tamanho: Sob Medida, Cor: Azul, Características Adicionais: Pré-Lavado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R$ 48,58</w:t>
            </w:r>
          </w:p>
        </w:tc>
        <w:tc>
          <w:tcPr>
            <w:tcW w:w="1518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R$ 1.311,66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7" w:type="dxa"/>
          <w:trHeight w:val="78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Blusa pólo na cor branca, sem abotoamento frontal, sem bolso e com logomarca da empresa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R$ 41,18</w:t>
            </w:r>
          </w:p>
        </w:tc>
        <w:tc>
          <w:tcPr>
            <w:tcW w:w="1518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R$ 1.482,48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7" w:type="dxa"/>
          <w:trHeight w:val="3075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CALCADO DE SEGURANCA - MODELO: SAPATO, FECHADO NO DORSO E NO CALCANHAR; TAMANHO: SOB MEDIDA; CABEDAL: EVA; BIQUEIRA: SEM BIQUEIRA; SOLA: BORRACHA SINTETICA ANTIDERRAPANTE; CADARCO: SEM CADARCO; COR: BRANCA; ENTRESSOLA: SINTETICA; FORRO: SINTETICO; ALMA: SINTETICA; PALMILHA: EVA, FORRADA EM TECIDO, LAVAVEL, ANTIBACTERIANA; GRAVACAO: COM GRAVACAO; CERTIFICADO APROVACAO- CA: SIM;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R$ 44,95</w:t>
            </w:r>
          </w:p>
        </w:tc>
        <w:tc>
          <w:tcPr>
            <w:tcW w:w="1518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R$ 809,10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7" w:type="dxa"/>
          <w:trHeight w:val="78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Meia Vestuário,, Material: Algodão, Poliamida E Elastano, Tipo: Social, Cor: Variada, Tamanho: Sob Medida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1518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R$ 332,55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7" w:type="dxa"/>
          <w:trHeight w:val="1035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Touca Material: Tnt , Aplicação: Cozinha Industrial , Cor: Branca , Tipo: Descartável , Características Adicionais: Tamanho Único Com Elástico.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Pcte 100 unid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1518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R$ 232,56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16" w:type="dxa"/>
            <w:gridSpan w:val="6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628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3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3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R$ 4.168,35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16" w:type="dxa"/>
            <w:gridSpan w:val="6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628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3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3"/>
            <w:noWrap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R$ 38,60</w:t>
            </w:r>
          </w:p>
        </w:tc>
      </w:tr>
    </w:tbl>
    <w:p>
      <w:pPr>
        <w:spacing w:line="276" w:lineRule="auto"/>
        <w:jc w:val="both"/>
        <w:rPr>
          <w:rFonts w:ascii="Calibri" w:hAnsi="Calibri" w:cs="Arial"/>
        </w:rPr>
      </w:pPr>
    </w:p>
    <w:p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70"/>
        <w:tblW w:w="10177" w:type="dxa"/>
        <w:tblInd w:w="-572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321"/>
        <w:gridCol w:w="761"/>
        <w:gridCol w:w="906"/>
        <w:gridCol w:w="998"/>
        <w:gridCol w:w="881"/>
        <w:gridCol w:w="418"/>
        <w:gridCol w:w="1322"/>
        <w:gridCol w:w="62"/>
        <w:gridCol w:w="908"/>
        <w:gridCol w:w="64"/>
        <w:gridCol w:w="596"/>
        <w:gridCol w:w="432"/>
        <w:gridCol w:w="80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5" w:type="dxa"/>
          <w:trHeight w:val="300" w:hRule="atLeast"/>
        </w:trPr>
        <w:tc>
          <w:tcPr>
            <w:tcW w:w="9782" w:type="dxa"/>
            <w:gridSpan w:val="12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COMPOSIÇÃO DE CUSTO DE UNIFORME PARA O CARGO DE ALMOXARIFE E AUXILIAR DE ALMOXARIFE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4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7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70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54" w:type="dxa"/>
            <w:gridSpan w:val="3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</w:tblPrEx>
        <w:trPr>
          <w:trHeight w:val="600" w:hRule="atLeast"/>
        </w:trPr>
        <w:tc>
          <w:tcPr>
            <w:tcW w:w="684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azul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R$ 1.446,12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4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azul, sem abotoamento frontal, sem bolso e com logomarca da empresa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R$ 1.788,75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4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de cano curto, na cor preta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R$ 1.070,55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</w:tblPrEx>
        <w:trPr>
          <w:trHeight w:val="900" w:hRule="atLeast"/>
        </w:trPr>
        <w:tc>
          <w:tcPr>
            <w:tcW w:w="684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Meia Vestuário,, Material: Algodão, Poliamida E Elastano, Tipo: Social, Cor: Variada, Tamanho: Sob Medida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R$ 5,23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R$ 235,35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4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Avental impermeável com amarras na cintura e no pescoço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R$ 478,44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4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Cinta abdominal ergonômica com suspensório de segurança em material reforçado tipo: modelo Vicsa ® safety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R$ 39,99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R$ 359,91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4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Japona forrada e reforçada com capuz para proteção a baixas temperaturas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R$ 858,33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84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 G e Extra G, sendo o tamanho compatível com as mãos do colaborador)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Cx 100 unid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R$ 493,56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4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Luvas reforçadas para baixas temperaturas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R$ 16,00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R$ 864,00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84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1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Touca Material: Tnt , Aplicação: Cozinha Industrial , Cor: Branca , Tipo: Descartável , Características Adicionais: Tamanho Único Com Elástico.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Pcte 100 unid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R$ 232,56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00" w:hRule="atLeast"/>
        </w:trPr>
        <w:tc>
          <w:tcPr>
            <w:tcW w:w="6551" w:type="dxa"/>
            <w:gridSpan w:val="6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740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R$ 7.827,57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00" w:hRule="atLeast"/>
        </w:trPr>
        <w:tc>
          <w:tcPr>
            <w:tcW w:w="6551" w:type="dxa"/>
            <w:gridSpan w:val="6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740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noWrap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R$ 72,48</w:t>
            </w:r>
          </w:p>
        </w:tc>
      </w:tr>
    </w:tbl>
    <w:p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70"/>
        <w:tblW w:w="10154" w:type="dxa"/>
        <w:tblInd w:w="-572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377"/>
        <w:gridCol w:w="662"/>
        <w:gridCol w:w="1009"/>
        <w:gridCol w:w="1000"/>
        <w:gridCol w:w="1299"/>
        <w:gridCol w:w="1384"/>
        <w:gridCol w:w="970"/>
        <w:gridCol w:w="913"/>
        <w:gridCol w:w="179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00" w:hRule="atLeast"/>
        </w:trPr>
        <w:tc>
          <w:tcPr>
            <w:tcW w:w="9987" w:type="dxa"/>
            <w:gridSpan w:val="9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COMPOSIÇÃO DE CUSTO DE UNIFORME PARA O CARGO DE GERENTE DO RESTAURANTE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378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54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branca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R$ 1.446,12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Blusa pólo na cor branca, sem abotoamento frontal, sem bolso e com logomarca 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empresa;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R$ 41,18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R$ 1.853,10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na cor branca - exceto para gerente do setor do estoque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R$ 951,60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Sapato antiderrapante e impermeável, na cor branco, para gerente do setor de estoque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R$ 137,83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R$ 275,66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Meia Vestuário,, Material: Algodão, Poliamida E Elastano, Tipo: Social, Cor: Variada, Tamanho: Sob Medida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R$ 332,55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Protetor auricular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R$ 30,68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R$ 1.104,48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 G e Extra G, sendo o tamanho compatível com as mãos do colaborador)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Cx 100 unid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R$ 246,78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Avental impermeável, tamanho 120cm x 70cm ou compatível com a estatura do colaborador, com amarras na cintura e alças graduadas na altura do pescoço, exceto para o encarregado do estoque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R$ 239,22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78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Touca Material: Tnt , Aplicação: Cozinha Industrial , Cor: Branca , Tipo: Descartável , Características Adicionais: Tamanho Único Com Elástico.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Pcte 100 unid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R$ 232,56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6" w:type="dxa"/>
            <w:gridSpan w:val="6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384" w:type="dxa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R$ 6.682,07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6" w:type="dxa"/>
            <w:gridSpan w:val="6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384" w:type="dxa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R$ 61,87</w:t>
            </w:r>
          </w:p>
        </w:tc>
      </w:tr>
    </w:tbl>
    <w:p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70"/>
        <w:tblW w:w="10158" w:type="dxa"/>
        <w:tblInd w:w="-572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305"/>
        <w:gridCol w:w="662"/>
        <w:gridCol w:w="965"/>
        <w:gridCol w:w="998"/>
        <w:gridCol w:w="979"/>
        <w:gridCol w:w="320"/>
        <w:gridCol w:w="1339"/>
        <w:gridCol w:w="45"/>
        <w:gridCol w:w="951"/>
        <w:gridCol w:w="49"/>
        <w:gridCol w:w="975"/>
        <w:gridCol w:w="159"/>
        <w:gridCol w:w="52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1" w:type="dxa"/>
          <w:trHeight w:val="300" w:hRule="atLeast"/>
        </w:trPr>
        <w:tc>
          <w:tcPr>
            <w:tcW w:w="9987" w:type="dxa"/>
            <w:gridSpan w:val="12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COMPOSIÇÃO DE CUSTO DE UNIFORME PARA O CARGO DE MAGAREFE E AUXILIAR DE MAGAREFE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96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50" w:type="dxa"/>
            <w:gridSpan w:val="3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azul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R$ 1.285,44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branca, sem abotoamento frontal, sem bolso e com logomarca da empresa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R$ 1.590,00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Meia Vestuário,, Material: Algodão, Poliamida E Elastano, Tipo: Social, Cor: Variada, Tamanho: Sob Medida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R$ 295,60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na cor branca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R$ 951,60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Avental impermeável, tamanho 120cm x 70cm ou compatível com a estatura do colaborador, com amarras na cintura e com alças graduadas na altura do pescoço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R$ 425,28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Cinta abdominal ergon ômica com suspensório de segurança em material reforçado – tipo: modelo Vicsa ® safety;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R$ 39,99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R$ 319,92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Japona forrada e reforçada com capuz para proteção a baixas temperaturas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R$ 762,96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Luvas de malha de aço 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R$ 257,63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R$ 4.122,08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 G e Extra G, sendo o tamanho compatível com as mãos do colaborador).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cx com 100 unid.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R$ 877,44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Touca Material: Tnt , Aplicação: Cozinha Industrial , Cor: Branca , Tipo: Descartável , Características Adicionais: Tamanho Único Com Elástico.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Pcte 100 unid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R$ 310,08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0" w:hRule="atLeast"/>
        </w:trPr>
        <w:tc>
          <w:tcPr>
            <w:tcW w:w="6508" w:type="dxa"/>
            <w:gridSpan w:val="6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659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R$ 10.940,40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0" w:hRule="atLeast"/>
        </w:trPr>
        <w:tc>
          <w:tcPr>
            <w:tcW w:w="6508" w:type="dxa"/>
            <w:gridSpan w:val="6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659" w:type="dxa"/>
            <w:gridSpan w:val="2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R$ 113,96</w:t>
            </w:r>
          </w:p>
        </w:tc>
      </w:tr>
    </w:tbl>
    <w:p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70"/>
        <w:tblW w:w="10147" w:type="dxa"/>
        <w:tblInd w:w="-572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428"/>
        <w:gridCol w:w="662"/>
        <w:gridCol w:w="842"/>
        <w:gridCol w:w="998"/>
        <w:gridCol w:w="1299"/>
        <w:gridCol w:w="99"/>
        <w:gridCol w:w="1285"/>
        <w:gridCol w:w="64"/>
        <w:gridCol w:w="910"/>
        <w:gridCol w:w="14"/>
        <w:gridCol w:w="1121"/>
        <w:gridCol w:w="62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00" w:hRule="atLeast"/>
        </w:trPr>
        <w:tc>
          <w:tcPr>
            <w:tcW w:w="10097" w:type="dxa"/>
            <w:gridSpan w:val="12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COMPOSIÇÃO DE CUSTO DE UNIFORME PARA O CARGO DE COZINHEIRO E AUXILIAR DE COZINHEIRO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87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74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60" w:type="dxa"/>
            <w:gridSpan w:val="3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azul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R$ 13.497,12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branca, sem abotoamento frontal, sem bolso e com logomarca da empresa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R$ 16.695,00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Meia Vestuário,, Material: Algodão, Poliamida E Elastano, Tipo: Social, Cor: Variada, Tamanho: Sob Medida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R$ 3.103,80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na cor branca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R$ 7.137,00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Sapatos fechados, na cor branca, antiderrapantes, impermeáveis, em material apropriado para trabalhar em cozinha industrial, para as auxiliares de cozinha do sexo femenino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R$ 137,83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R$ 6.615,84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Avental impermeável, tamanho 120cm x 90cm ou compatível com a estatura do colaborador, com amarras na cintura e alças graduadas na altura do pescoço;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R$ 850,56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Luva térmica e anticorte para proteção de altas temperaturas em cozinha industrial (confeccionada com reforço em couro na palma e polegar, forro interno com fibras naturais e espuma na palma e dorso) com molde para os dedos (confeccionada com reforço em couro na palma e polegar, forro interno com fibras naturais e espuma na palma e dorso) – marca de referência: luva Weld Premium, Volk do Brasil. Será utilizada por todos os cozinheiros e, em sendo auxiliares de cozinha, por aqueles que atuarem como auxiliares de cozinheiro 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R$ 103,79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R$ 3.321,28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Luvas em látex natural para lavagem e higienização de pratos e panelas (confeccionada em látex natural, com alta aderência para manuseio de objetos com umidade; punho longo com fechamento que se prende ao antebraço para evitar entrada de líquidos no interior da luva; apropriada para serviços que exijam imersão até o antebraço; palma e dedos antiderrapantes que evitam o deslize de objetos secos ou molhados. Tamanho adequado às mãos do colaborador).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R$ 5,29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R$ 677,12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 G e Extra G, sendo o tamanho compatível com as mãos do colaborador).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cx com 100 unid.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R$ 1.371,00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Japonas forradas e reforçadas com capuz para proteção a baixas temperaturas, para ser utilizada pela equipe de auxiliares de cozinha, com reposição anual ou sempre que houver desgaste pelo tempo de uso e/ou perfurações causadas acidentalmente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R$ 572,22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M, G e Extra G, sendo o tamanho compatível com as mãos do colaborador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cx com 100 unid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R$ 8.061,48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Cinta abdominal ergonômica com suspensório de segurança em material reforçado –tipo: modelo Vicsa ® safety;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R$ 39,99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R$ 1.439,64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Máscara descartável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caixa com 100 unid.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R$ 10,95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R$ 4.599,00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Óculos de Proteção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R$ 305,28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Touca Material: Tnt , Aplicação: Cozinha Industrial , Cor: Branca , Tipo: Descartável , Características Adicionais: Tamanho Único Com Elástico.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Pcte 100 unid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R$ 3.255,84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87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Avental térmico comprido com amarras na cintura e pescoço tamanho 120 x 90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R$ 75,03</w:t>
            </w:r>
          </w:p>
        </w:tc>
        <w:tc>
          <w:tcPr>
            <w:tcW w:w="96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R$ 3.601,44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27" w:type="dxa"/>
            <w:gridSpan w:val="7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349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R$ 75.103,62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27" w:type="dxa"/>
            <w:gridSpan w:val="7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349" w:type="dxa"/>
            <w:gridSpan w:val="2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noWrap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R$ 74,51</w:t>
            </w:r>
          </w:p>
        </w:tc>
      </w:tr>
    </w:tbl>
    <w:p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70"/>
        <w:tblW w:w="10158" w:type="dxa"/>
        <w:tblInd w:w="-572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305"/>
        <w:gridCol w:w="662"/>
        <w:gridCol w:w="965"/>
        <w:gridCol w:w="998"/>
        <w:gridCol w:w="979"/>
        <w:gridCol w:w="320"/>
        <w:gridCol w:w="1339"/>
        <w:gridCol w:w="45"/>
        <w:gridCol w:w="951"/>
        <w:gridCol w:w="49"/>
        <w:gridCol w:w="975"/>
        <w:gridCol w:w="159"/>
        <w:gridCol w:w="52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1" w:type="dxa"/>
          <w:trHeight w:val="300" w:hRule="atLeast"/>
        </w:trPr>
        <w:tc>
          <w:tcPr>
            <w:tcW w:w="9987" w:type="dxa"/>
            <w:gridSpan w:val="12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COMPOSIÇÃO DE CUSTO DE UNIFORME PARA O CARGO DE AUXILIAR DE SERVIÇOS GERAIS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96" w:type="dxa"/>
            <w:gridSpan w:val="2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50" w:type="dxa"/>
            <w:gridSpan w:val="3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</w:tblPrEx>
        <w:trPr>
          <w:trHeight w:val="6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azul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R$ 4.499,04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azul, sem abotoamento frontal, sem bolso e com logomarca da empresa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R$ 5.565,00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Luvas de Borracha reforçada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R$ 5,29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R$ 888,72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na cor branca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R$ 3.330,60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9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Meia Vestuário,, Material: Algodão, Poliamida E Elastano, Tipo: Social, Cor: Variada, Tamanho: Sob Medida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R$ 1.034,60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Avental impermeável, tam. 120cm x 90cm ou compatível com a estatura do colaborador, com amarras na cintura e alças graduadas na altura do pescoço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R$ 1.116,36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Óculos de Proteção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R$ 712,32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Cinta abdominal ergon ômica com suspensório de segurança em material reforçado –tipo: modelo Vicsa ® safety;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R$ 39,99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R$ 479,88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Protetor auricular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R$ 30,68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R$ 3.436,16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Japonas forradas e reforçadas com capuz para proteção a baixas temperaturas, para ser utilizada pela equipe de auxiliares de cozinha, com reposição anual ou sempre que houver desgaste pelo tempo de uso e/ou perfurações causadas acidentalmente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R$ 1.144,44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99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2" w:type="dxa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Touca Material: Tnt , Aplicação: Cozinha Industrial , Cor: Branca , Tipo: Descartável , Características Adicionais: Tamanho Único Com Elástico.</w:t>
            </w:r>
          </w:p>
        </w:tc>
        <w:tc>
          <w:tcPr>
            <w:tcW w:w="662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Pcte 100 unid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R$ 1.085,28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0" w:hRule="atLeast"/>
        </w:trPr>
        <w:tc>
          <w:tcPr>
            <w:tcW w:w="6508" w:type="dxa"/>
            <w:gridSpan w:val="6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659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R$ 23.292,40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0" w:hRule="atLeast"/>
        </w:trPr>
        <w:tc>
          <w:tcPr>
            <w:tcW w:w="6508" w:type="dxa"/>
            <w:gridSpan w:val="6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659" w:type="dxa"/>
            <w:gridSpan w:val="2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noWrap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noWrap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R$ 69,32</w:t>
            </w:r>
          </w:p>
        </w:tc>
      </w:tr>
    </w:tbl>
    <w:p>
      <w:pPr>
        <w:spacing w:line="276" w:lineRule="auto"/>
        <w:jc w:val="both"/>
        <w:rPr>
          <w:rFonts w:ascii="Calibri" w:hAnsi="Calibri" w:cs="Arial"/>
        </w:rPr>
      </w:pPr>
    </w:p>
    <w:p>
      <w:pPr>
        <w:rPr>
          <w:rFonts w:cs="Arial" w:asciiTheme="minorHAnsi" w:hAnsiTheme="minorHAnsi"/>
          <w:b/>
          <w:lang w:val="pt-PT"/>
        </w:rPr>
      </w:pPr>
      <w:r>
        <w:rPr>
          <w:rFonts w:cs="Arial" w:asciiTheme="minorHAnsi" w:hAnsiTheme="minorHAnsi"/>
          <w:b/>
          <w:lang w:val="pt-PT"/>
        </w:rPr>
        <w:t>B) EQUIPAMENTOS</w:t>
      </w:r>
    </w:p>
    <w:p>
      <w:pPr>
        <w:rPr>
          <w:rFonts w:cs="Arial" w:asciiTheme="minorHAnsi" w:hAnsiTheme="minorHAnsi"/>
          <w:b/>
          <w:lang w:val="pt-PT"/>
        </w:rPr>
      </w:pPr>
    </w:p>
    <w:p>
      <w:pPr>
        <w:rPr>
          <w:rFonts w:cs="Arial" w:asciiTheme="minorHAnsi" w:hAnsiTheme="minorHAnsi"/>
          <w:b/>
          <w:lang w:val="pt-PT"/>
        </w:rPr>
      </w:pPr>
    </w:p>
    <w:p>
      <w:pPr>
        <w:rPr>
          <w:rFonts w:cs="Arial" w:asciiTheme="minorHAnsi" w:hAnsiTheme="minorHAnsi"/>
          <w:b/>
          <w:lang w:val="pt-PT"/>
        </w:rPr>
      </w:pPr>
    </w:p>
    <w:tbl>
      <w:tblPr>
        <w:tblStyle w:val="70"/>
        <w:tblW w:w="8960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167"/>
        <w:gridCol w:w="530"/>
        <w:gridCol w:w="2307"/>
        <w:gridCol w:w="1109"/>
        <w:gridCol w:w="1244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60" w:type="dxa"/>
            <w:gridSpan w:val="6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Disponibilização de Equipamentos para os todos os postos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" w:type="dxa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3380" w:type="dxa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Descrição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Qnt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Valor de referência FIPE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Valor Total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Depreciação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" w:type="dxa"/>
          </w:tcPr>
          <w:p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38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Relógio de ponto eletrônico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R$ 1.433,00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2.866,00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60 meses 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20" w:type="dxa"/>
            <w:gridSpan w:val="4"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Depreciação do Relógio de Ponto Cód 8471 - 60 meses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R$ 47,77</w:t>
            </w:r>
          </w:p>
        </w:tc>
        <w:tc>
          <w:tcPr>
            <w:tcW w:w="1120" w:type="dxa"/>
            <w:noWrap/>
          </w:tcPr>
          <w:p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20" w:type="dxa"/>
            <w:gridSpan w:val="4"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Total dos equipamentos por mês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R$ 47,77</w:t>
            </w:r>
          </w:p>
        </w:tc>
        <w:tc>
          <w:tcPr>
            <w:tcW w:w="1120" w:type="dxa"/>
            <w:noWrap/>
          </w:tcPr>
          <w:p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20" w:type="dxa"/>
            <w:gridSpan w:val="4"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Custo por posto  = Soma da depreciação por 140 postos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R$ 0,34</w:t>
            </w:r>
          </w:p>
        </w:tc>
        <w:tc>
          <w:tcPr>
            <w:tcW w:w="1120" w:type="dxa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60" w:type="dxa"/>
            <w:gridSpan w:val="6"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Depreciação com base na INSTRUÇÃO NORMATIVA RFB Nº 1700, DE 14 DE MARÇO DE 2017 da Secretaria da Receita Federal do Brasil</w:t>
            </w:r>
          </w:p>
        </w:tc>
      </w:tr>
    </w:tbl>
    <w:p>
      <w:pPr>
        <w:rPr>
          <w:rFonts w:cs="Arial" w:asciiTheme="minorHAnsi" w:hAnsiTheme="minorHAnsi"/>
          <w:b/>
        </w:rPr>
      </w:pPr>
    </w:p>
    <w:p>
      <w:pPr>
        <w:rPr>
          <w:rFonts w:cs="Arial" w:asciiTheme="minorHAnsi" w:hAnsiTheme="minorHAnsi"/>
          <w:b/>
          <w:lang w:val="pt-PT"/>
        </w:rPr>
      </w:pPr>
    </w:p>
    <w:p>
      <w:pPr>
        <w:rPr>
          <w:rFonts w:ascii="Calibri" w:hAnsi="Calibri" w:cs="Arial" w:eastAsiaTheme="minorHAnsi"/>
          <w:b/>
          <w:sz w:val="22"/>
          <w:szCs w:val="22"/>
          <w:u w:val="single"/>
          <w:lang w:eastAsia="en-US"/>
        </w:rPr>
      </w:pPr>
      <w:r>
        <w:rPr>
          <w:rFonts w:ascii="Calibri" w:hAnsi="Calibri" w:cs="Arial" w:eastAsiaTheme="minorHAnsi"/>
          <w:b/>
          <w:sz w:val="22"/>
          <w:szCs w:val="22"/>
          <w:u w:val="single"/>
          <w:lang w:eastAsia="en-US"/>
        </w:rPr>
        <w:t>Módulo 6 – Custos Indiretos, Lucro e Tributos</w:t>
      </w:r>
    </w:p>
    <w:p>
      <w:pPr>
        <w:rPr>
          <w:rFonts w:ascii="Calibri" w:hAnsi="Calibri" w:cs="Arial" w:eastAsiaTheme="minorHAnsi"/>
          <w:b/>
          <w:u w:val="single"/>
          <w:lang w:eastAsia="en-US"/>
        </w:rPr>
      </w:pPr>
    </w:p>
    <w:tbl>
      <w:tblPr>
        <w:tblStyle w:val="70"/>
        <w:tblW w:w="5523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6"/>
        <w:gridCol w:w="2547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7" w:type="dxa"/>
            <w:tcBorders>
              <w:top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cs="Arial" w:asciiTheme="minorHAnsi" w:hAnsiTheme="minorHAnsi"/>
                <w:b/>
              </w:rPr>
              <w:t>4,80%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Lucro</w:t>
            </w:r>
          </w:p>
        </w:tc>
        <w:tc>
          <w:tcPr>
            <w:tcW w:w="2547" w:type="dxa"/>
          </w:tcPr>
          <w:p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cs="Arial" w:asciiTheme="minorHAnsi" w:hAnsiTheme="minorHAnsi"/>
                <w:b/>
              </w:rPr>
              <w:t>3,92%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Tributos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>
      <w:pPr>
        <w:rPr>
          <w:rFonts w:ascii="Calibri" w:hAnsi="Calibri" w:cs="Arial" w:eastAsiaTheme="minorHAnsi"/>
          <w:b/>
          <w:u w:val="single"/>
          <w:lang w:eastAsia="en-US"/>
        </w:rPr>
      </w:pPr>
    </w:p>
    <w:tbl>
      <w:tblPr>
        <w:tblStyle w:val="70"/>
        <w:tblW w:w="5523" w:type="dxa"/>
        <w:tblInd w:w="0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6"/>
        <w:gridCol w:w="2547"/>
      </w:tblGrid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color="4F81BD" w:themeColor="accent1" w:sz="4" w:space="0"/>
              <w:bottom w:val="single" w:color="4F81BD" w:themeColor="accent1" w:sz="4" w:space="0"/>
              <w:right w:val="nil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7" w:type="dxa"/>
            <w:tcBorders>
              <w:top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  <w:insideH w:val="single" w:sz="4" w:space="0"/>
              <w:insideV w:val="nil"/>
            </w:tcBorders>
            <w:shd w:val="clear" w:color="auto" w:fill="4F81BD" w:themeFill="accent1"/>
          </w:tcPr>
          <w:p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cs="Arial" w:asciiTheme="minorHAnsi" w:hAnsiTheme="minorHAnsi"/>
                <w:b/>
              </w:rPr>
              <w:t>4,80%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Lucro</w:t>
            </w:r>
          </w:p>
        </w:tc>
        <w:tc>
          <w:tcPr>
            <w:tcW w:w="2547" w:type="dxa"/>
          </w:tcPr>
          <w:p>
            <w:pPr>
              <w:jc w:val="both"/>
              <w:rPr>
                <w:rFonts w:cs="Arial" w:asciiTheme="minorHAnsi" w:hAnsiTheme="minorHAnsi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cs="Arial" w:asciiTheme="minorHAnsi" w:hAnsiTheme="minorHAnsi"/>
                <w:b/>
              </w:rPr>
              <w:t>3,92%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Tributos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0" w:type="dxa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>
        <w:tblPrEx>
          <w:tblBorders>
            <w:top w:val="single" w:color="95B3D7" w:themeColor="accent1" w:themeTint="99" w:sz="4" w:space="0"/>
            <w:left w:val="single" w:color="95B3D7" w:themeColor="accent1" w:themeTint="99" w:sz="4" w:space="0"/>
            <w:bottom w:val="single" w:color="95B3D7" w:themeColor="accent1" w:themeTint="99" w:sz="4" w:space="0"/>
            <w:right w:val="single" w:color="95B3D7" w:themeColor="accent1" w:themeTint="99" w:sz="4" w:space="0"/>
            <w:insideH w:val="single" w:color="95B3D7" w:themeColor="accent1" w:themeTint="99" w:sz="4" w:space="0"/>
            <w:insideV w:val="single" w:color="95B3D7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" w:type="dxa"/>
            <w:shd w:val="clear" w:color="auto" w:fill="DBE5F1" w:themeFill="accent1" w:themeFillTint="33"/>
          </w:tcPr>
          <w:p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>
      <w:pPr>
        <w:rPr>
          <w:rFonts w:ascii="Calibri" w:hAnsi="Calibri" w:cs="Arial" w:eastAsiaTheme="minorHAnsi"/>
          <w:lang w:eastAsia="en-US"/>
        </w:rPr>
      </w:pPr>
    </w:p>
    <w:p>
      <w:pPr>
        <w:jc w:val="both"/>
        <w:rPr>
          <w:rFonts w:ascii="Calibri" w:hAnsi="Calibri" w:cs="Arial" w:eastAsiaTheme="minorHAnsi"/>
          <w:sz w:val="22"/>
          <w:szCs w:val="22"/>
          <w:lang w:eastAsia="en-US"/>
        </w:rPr>
      </w:pPr>
      <w:r>
        <w:rPr>
          <w:rFonts w:ascii="Calibri" w:hAnsi="Calibri" w:cs="Arial" w:eastAsiaTheme="minorHAnsi"/>
          <w:sz w:val="22"/>
          <w:szCs w:val="22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>
      <w:pPr>
        <w:jc w:val="both"/>
        <w:rPr>
          <w:rFonts w:ascii="Calibri" w:hAnsi="Calibri" w:cs="Arial" w:eastAsiaTheme="minorHAnsi"/>
          <w:sz w:val="22"/>
          <w:szCs w:val="22"/>
          <w:lang w:eastAsia="en-US"/>
        </w:rPr>
      </w:pPr>
    </w:p>
    <w:p>
      <w:pPr>
        <w:spacing w:line="276" w:lineRule="auto"/>
        <w:jc w:val="both"/>
        <w:rPr>
          <w:rFonts w:cs="Arial" w:asciiTheme="minorHAnsi" w:hAnsiTheme="minorHAnsi"/>
          <w:b/>
          <w:sz w:val="22"/>
          <w:szCs w:val="22"/>
          <w:u w:val="single"/>
        </w:rPr>
      </w:pPr>
      <w:r>
        <w:rPr>
          <w:rFonts w:cs="Arial" w:asciiTheme="minorHAnsi" w:hAnsiTheme="minorHAnsi"/>
          <w:b/>
          <w:sz w:val="22"/>
          <w:szCs w:val="22"/>
          <w:u w:val="single"/>
        </w:rPr>
        <w:t>CÁLCULO CUSTOS INDIRETOS:</w:t>
      </w: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Cálculo: (Módulo 1 + Módulo 2 + Módulo 3 + Módulo 4 + Módulo 5) x % custos indiretos (média praticada pelas empresas do setor)</w:t>
      </w: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4141936"/>
      <w:r>
        <w:rPr>
          <w:rFonts w:asciiTheme="minorHAnsi" w:hAnsiTheme="minorHAnsi" w:cstheme="minorHAnsi"/>
          <w:sz w:val="22"/>
          <w:szCs w:val="22"/>
        </w:rPr>
        <w:t>Proposta 1 (Pregão Eletrônico 11/2020 – UASG 150182) – Ctesa = 4,11%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Proposta 2 (Pregão Eletrônico 12/2020 – UASG 150182) – Rio Minas = 4,31%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Proposta 3 (Pregão Eletrônico 88/2021 – UASG 150182) – Persona = 6%</w:t>
      </w:r>
    </w:p>
    <w:p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Média = 4,80%</w:t>
      </w:r>
    </w:p>
    <w:bookmarkEnd w:id="0"/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</w:p>
    <w:p>
      <w:pPr>
        <w:spacing w:line="276" w:lineRule="auto"/>
        <w:jc w:val="both"/>
        <w:rPr>
          <w:rFonts w:cs="Arial" w:asciiTheme="minorHAnsi" w:hAnsiTheme="minorHAnsi"/>
          <w:b/>
          <w:sz w:val="22"/>
          <w:szCs w:val="22"/>
          <w:u w:val="single"/>
        </w:rPr>
      </w:pPr>
      <w:r>
        <w:rPr>
          <w:rFonts w:cs="Arial" w:asciiTheme="minorHAnsi" w:hAnsiTheme="minorHAnsi"/>
          <w:b/>
          <w:sz w:val="22"/>
          <w:szCs w:val="22"/>
          <w:u w:val="single"/>
        </w:rPr>
        <w:t>CÁLCULO LUCRO:</w:t>
      </w: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Cálculo: (Módulo 1 + Módulo 2 + Módulo 3 + Módulo 4 + Módulo 5 + Módulo 6-A) x % lucro (média praticada pelas empresas do setor)</w:t>
      </w: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141943"/>
      <w:r>
        <w:rPr>
          <w:rFonts w:asciiTheme="minorHAnsi" w:hAnsiTheme="minorHAnsi" w:cstheme="minorHAnsi"/>
          <w:sz w:val="22"/>
          <w:szCs w:val="22"/>
        </w:rPr>
        <w:t>Proposta 1 (Pregão Eletrônico 11/2020 – UASG 150182) – Ctesa = 2,00%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Proposta 2 (Pregão Eletrônico 12/2020 – UASG 150182) – RioMinas = 4,75%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Proposta 3 (Pregão Eletrônico 88/2021 – UASG 150182) – Persona = 5%</w:t>
      </w:r>
    </w:p>
    <w:p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Média = 3,92%</w:t>
      </w:r>
    </w:p>
    <w:bookmarkEnd w:id="1"/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</w:p>
    <w:p>
      <w:pPr>
        <w:spacing w:line="276" w:lineRule="auto"/>
        <w:jc w:val="both"/>
        <w:rPr>
          <w:rFonts w:cs="Arial" w:asciiTheme="minorHAnsi" w:hAnsiTheme="minorHAnsi"/>
          <w:b/>
          <w:sz w:val="22"/>
          <w:szCs w:val="22"/>
          <w:u w:val="single"/>
        </w:rPr>
      </w:pPr>
      <w:r>
        <w:rPr>
          <w:rFonts w:cs="Arial" w:asciiTheme="minorHAnsi" w:hAnsiTheme="minorHAnsi"/>
          <w:b/>
          <w:sz w:val="22"/>
          <w:szCs w:val="22"/>
          <w:u w:val="single"/>
        </w:rPr>
        <w:t>CÁLCULO TRIBUTOS:</w:t>
      </w: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i/>
          <w:sz w:val="22"/>
          <w:szCs w:val="22"/>
        </w:rPr>
        <w:t>Fator de divisão</w:t>
      </w:r>
      <w:r>
        <w:rPr>
          <w:rFonts w:cs="Arial" w:asciiTheme="minorHAnsi" w:hAnsiTheme="minorHAnsi"/>
          <w:sz w:val="22"/>
          <w:szCs w:val="22"/>
        </w:rPr>
        <w:t>: 1 – (Alíquota do PIS + Alíquota da COFINS + Alíquota do ISS) : 100</w:t>
      </w: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b/>
          <w:color w:val="FF0000"/>
          <w:sz w:val="22"/>
          <w:szCs w:val="22"/>
        </w:rPr>
        <w:t>Base de Cálculo:</w:t>
      </w:r>
      <w:r>
        <w:rPr>
          <w:rFonts w:cs="Arial" w:asciiTheme="minorHAnsi" w:hAnsiTheme="minorHAnsi"/>
          <w:color w:val="FF0000"/>
          <w:sz w:val="22"/>
          <w:szCs w:val="22"/>
        </w:rPr>
        <w:t xml:space="preserve"> </w:t>
      </w:r>
      <w:r>
        <w:rPr>
          <w:rFonts w:cs="Arial" w:asciiTheme="minorHAnsi" w:hAnsiTheme="minorHAnsi"/>
          <w:sz w:val="22"/>
          <w:szCs w:val="22"/>
        </w:rPr>
        <w:t>(Módulo 1 + Módulo 2 + Módulo 3 + Módulo 4 + Módulo 5 + Módulo 6-A + Modulo 6-B) : Fator de Divisão</w:t>
      </w:r>
    </w:p>
    <w:p>
      <w:pPr>
        <w:spacing w:line="276" w:lineRule="auto"/>
        <w:jc w:val="both"/>
        <w:rPr>
          <w:rFonts w:asciiTheme="minorHAnsi" w:hAnsiTheme="minorHAnsi" w:eastAsiaTheme="minorHAnsi"/>
          <w:sz w:val="22"/>
          <w:szCs w:val="22"/>
          <w:highlight w:val="yellow"/>
          <w:lang w:eastAsia="en-US"/>
        </w:rPr>
      </w:pPr>
    </w:p>
    <w:p>
      <w:pPr>
        <w:jc w:val="center"/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t>Cálculo tributos federais: Base de cálculo x alíquota (PIS e COFINS)</w:t>
      </w:r>
    </w:p>
    <w:p>
      <w:pPr>
        <w:jc w:val="center"/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t>Cálculo tributos municipais: Base de cálculo x alíquota (ISS)</w:t>
      </w:r>
    </w:p>
    <w:p>
      <w:pPr>
        <w:jc w:val="center"/>
        <w:rPr>
          <w:rFonts w:ascii="Calibri" w:hAnsi="Calibri" w:cs="Arial" w:eastAsiaTheme="minorHAnsi"/>
          <w:b/>
          <w:sz w:val="22"/>
          <w:szCs w:val="22"/>
          <w:lang w:eastAsia="en-US"/>
        </w:rPr>
      </w:pPr>
    </w:p>
    <w:p>
      <w:pPr>
        <w:jc w:val="both"/>
        <w:rPr>
          <w:rFonts w:ascii="Calibri" w:hAnsi="Calibri" w:cs="Arial" w:eastAsiaTheme="minorHAnsi"/>
          <w:sz w:val="22"/>
          <w:szCs w:val="22"/>
          <w:lang w:eastAsia="en-US"/>
        </w:rPr>
      </w:pPr>
    </w:p>
    <w:p>
      <w:pPr>
        <w:spacing w:line="276" w:lineRule="auto"/>
        <w:jc w:val="both"/>
        <w:rPr>
          <w:rFonts w:ascii="Calibri" w:hAnsi="Calibri" w:cs="Arial" w:eastAsiaTheme="minorHAnsi"/>
          <w:b/>
          <w:sz w:val="22"/>
          <w:szCs w:val="22"/>
          <w:u w:val="single"/>
          <w:lang w:eastAsia="en-US"/>
        </w:rPr>
      </w:pPr>
      <w:r>
        <w:rPr>
          <w:rFonts w:ascii="Calibri" w:hAnsi="Calibri" w:cs="Arial" w:eastAsiaTheme="minorHAnsi"/>
          <w:b/>
          <w:sz w:val="22"/>
          <w:szCs w:val="22"/>
          <w:u w:val="single"/>
          <w:lang w:eastAsia="en-US"/>
        </w:rPr>
        <w:t>Tributação</w:t>
      </w:r>
    </w:p>
    <w:p>
      <w:pPr>
        <w:spacing w:line="276" w:lineRule="auto"/>
        <w:jc w:val="both"/>
        <w:rPr>
          <w:rFonts w:ascii="Calibri" w:hAnsi="Calibri" w:cs="Arial" w:eastAsiaTheme="minorHAnsi"/>
          <w:sz w:val="22"/>
          <w:szCs w:val="22"/>
          <w:lang w:eastAsia="en-US"/>
        </w:rPr>
      </w:pPr>
    </w:p>
    <w:p>
      <w:pPr>
        <w:spacing w:line="276" w:lineRule="auto"/>
        <w:jc w:val="both"/>
        <w:rPr>
          <w:rFonts w:cs="Arial" w:asciiTheme="minorHAnsi" w:hAnsiTheme="minorHAnsi" w:eastAsiaTheme="minorHAnsi"/>
          <w:sz w:val="22"/>
          <w:szCs w:val="22"/>
          <w:lang w:eastAsia="en-US"/>
        </w:rPr>
      </w:pPr>
      <w:r>
        <w:rPr>
          <w:rFonts w:cs="Arial" w:asciiTheme="minorHAnsi" w:hAnsiTheme="minorHAnsi" w:eastAsiaTheme="minorHAnsi"/>
          <w:sz w:val="22"/>
          <w:szCs w:val="22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>
      <w:pPr>
        <w:spacing w:line="276" w:lineRule="auto"/>
        <w:jc w:val="both"/>
        <w:rPr>
          <w:rFonts w:cs="Arial" w:asciiTheme="minorHAnsi" w:hAnsiTheme="minorHAnsi" w:eastAsiaTheme="minorHAnsi"/>
          <w:sz w:val="22"/>
          <w:szCs w:val="22"/>
          <w:lang w:eastAsia="en-US"/>
        </w:rPr>
      </w:pP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 xml:space="preserve">O ISSQN está sendo cotado conforme a legislação do município de Niterói onde serão prestados os serviços. Os tributos IRPJ e CSLL deixaram de constar na planilha </w:t>
      </w:r>
      <w:r>
        <w:rPr>
          <w:rFonts w:cs="Arial" w:asciiTheme="minorHAnsi" w:hAnsiTheme="minorHAnsi"/>
          <w:b/>
          <w:sz w:val="22"/>
          <w:szCs w:val="22"/>
        </w:rPr>
        <w:t>para a empresa que optar pelo regime tributário de LUCRO REAL ou PRESUMIDO</w:t>
      </w:r>
      <w:r>
        <w:rPr>
          <w:rFonts w:cs="Arial" w:asciiTheme="minorHAnsi" w:hAnsiTheme="minorHAnsi"/>
          <w:sz w:val="22"/>
          <w:szCs w:val="22"/>
        </w:rPr>
        <w:t xml:space="preserve">, </w:t>
      </w:r>
      <w:r>
        <w:rPr>
          <w:rFonts w:cs="Arial" w:asciiTheme="minorHAnsi" w:hAnsiTheme="minorHAnsi"/>
          <w:b/>
          <w:sz w:val="22"/>
          <w:szCs w:val="22"/>
        </w:rPr>
        <w:t>já que estão contidos no lucro bruto apresentado na proposta</w:t>
      </w:r>
      <w:r>
        <w:rPr>
          <w:rFonts w:cs="Arial" w:asciiTheme="minorHAnsi" w:hAnsiTheme="minorHAnsi"/>
          <w:sz w:val="22"/>
          <w:szCs w:val="22"/>
        </w:rPr>
        <w:t xml:space="preserve"> e em virtude da determinação contida na Súmula do TCU nº 254, Acórdão TCU nº 1591/2008 – Plenário, Acórdão TCU nº 264/2012 – Plenário e Informativo  de Jurisprudência TCU nº 279.</w:t>
      </w:r>
    </w:p>
    <w:p>
      <w:pPr>
        <w:spacing w:line="276" w:lineRule="auto"/>
        <w:jc w:val="both"/>
        <w:rPr>
          <w:rFonts w:cs="Arial" w:asciiTheme="minorHAnsi" w:hAnsiTheme="minorHAnsi"/>
          <w:b/>
          <w:sz w:val="22"/>
          <w:szCs w:val="22"/>
        </w:rPr>
      </w:pPr>
    </w:p>
    <w:p>
      <w:pPr>
        <w:shd w:val="clear" w:color="auto" w:fill="FFFFFF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b/>
          <w:bCs/>
          <w:sz w:val="22"/>
          <w:szCs w:val="22"/>
        </w:rPr>
        <w:t>O preço ofertado pelos licitantes deve ser comprovadamente suficiente para cumprir suas obrigações legais, sociais e </w:t>
      </w:r>
      <w:r>
        <w:rPr>
          <w:rFonts w:cs="Arial" w:asciiTheme="minorHAnsi" w:hAnsiTheme="minorHAnsi"/>
          <w:b/>
          <w:bCs/>
          <w:sz w:val="22"/>
          <w:szCs w:val="22"/>
          <w:u w:val="single"/>
        </w:rPr>
        <w:t>tributárias.</w:t>
      </w:r>
      <w:r>
        <w:rPr>
          <w:rFonts w:cs="Arial" w:asciiTheme="minorHAnsi" w:hAnsiTheme="minorHAnsi"/>
          <w:b/>
          <w:bCs/>
          <w:sz w:val="22"/>
          <w:szCs w:val="22"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>
      <w:pPr>
        <w:spacing w:line="276" w:lineRule="auto"/>
        <w:jc w:val="both"/>
        <w:rPr>
          <w:rFonts w:cs="Arial" w:asciiTheme="minorHAnsi" w:hAnsiTheme="minorHAnsi"/>
          <w:sz w:val="22"/>
          <w:szCs w:val="22"/>
        </w:rPr>
      </w:pPr>
    </w:p>
    <w:p>
      <w:pPr>
        <w:shd w:val="clear" w:color="auto" w:fill="FFFFFF"/>
        <w:spacing w:line="276" w:lineRule="auto"/>
        <w:rPr>
          <w:rFonts w:ascii="Calibri" w:hAnsi="Calibri" w:eastAsia="Lucida Sans Unicode"/>
          <w:kern w:val="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A LICITANTE deverá </w:t>
      </w:r>
      <w:r>
        <w:rPr>
          <w:rFonts w:ascii="Calibri" w:hAnsi="Calibri" w:eastAsia="Lucida Sans Unicode"/>
          <w:b/>
          <w:kern w:val="2"/>
          <w:sz w:val="22"/>
          <w:szCs w:val="22"/>
        </w:rPr>
        <w:t>comprovar, por meio de documentação hábil (DCTF, GFIP, EFD etc), a opção aos regimes acima elencados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, a fim de que se possa </w:t>
      </w:r>
      <w:r>
        <w:rPr>
          <w:rFonts w:ascii="Calibri" w:hAnsi="Calibri" w:eastAsia="Lucida Sans Unicode"/>
          <w:b/>
          <w:kern w:val="2"/>
          <w:sz w:val="22"/>
          <w:szCs w:val="22"/>
        </w:rPr>
        <w:t>certificar que as alíquotas do PIS e da COFINS e da Contribuição Social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 </w:t>
      </w:r>
      <w:r>
        <w:rPr>
          <w:rFonts w:ascii="Calibri" w:hAnsi="Calibri" w:eastAsia="Lucida Sans Unicode"/>
          <w:b/>
          <w:kern w:val="2"/>
          <w:sz w:val="22"/>
          <w:szCs w:val="22"/>
        </w:rPr>
        <w:t>consignadas na planilha conferem com sua opção tributária</w:t>
      </w:r>
      <w:r>
        <w:rPr>
          <w:rFonts w:ascii="Calibri" w:hAnsi="Calibri" w:eastAsia="Lucida Sans Unicode"/>
          <w:kern w:val="2"/>
          <w:sz w:val="22"/>
          <w:szCs w:val="22"/>
        </w:rPr>
        <w:t>.</w:t>
      </w:r>
    </w:p>
    <w:p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hAnsi="Calibri" w:eastAsia="Lucida Sans Unicode"/>
          <w:kern w:val="2"/>
          <w:sz w:val="22"/>
          <w:szCs w:val="22"/>
        </w:rPr>
      </w:pPr>
    </w:p>
    <w:p>
      <w:pPr>
        <w:widowControl w:val="0"/>
        <w:tabs>
          <w:tab w:val="left" w:pos="1560"/>
        </w:tabs>
        <w:spacing w:line="276" w:lineRule="auto"/>
        <w:jc w:val="both"/>
        <w:rPr>
          <w:rFonts w:ascii="Calibri" w:hAnsi="Calibri" w:eastAsia="Lucida Sans Unicode"/>
          <w:kern w:val="2"/>
          <w:sz w:val="22"/>
          <w:szCs w:val="22"/>
        </w:rPr>
      </w:pPr>
      <w:r>
        <w:rPr>
          <w:rFonts w:ascii="Calibri" w:hAnsi="Calibri" w:eastAsia="Lucida Sans Unicode"/>
          <w:kern w:val="2"/>
          <w:sz w:val="22"/>
          <w:szCs w:val="22"/>
        </w:rPr>
        <w:t xml:space="preserve">As </w:t>
      </w:r>
      <w:r>
        <w:rPr>
          <w:rFonts w:ascii="Calibri" w:hAnsi="Calibri" w:eastAsia="Lucida Sans Unicode"/>
          <w:b/>
          <w:kern w:val="2"/>
          <w:sz w:val="22"/>
          <w:szCs w:val="22"/>
        </w:rPr>
        <w:t>empresas tributadas pelo regime de incidência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 </w:t>
      </w:r>
      <w:r>
        <w:rPr>
          <w:rFonts w:ascii="Calibri" w:hAnsi="Calibri" w:eastAsia="Lucida Sans Unicode"/>
          <w:b/>
          <w:kern w:val="2"/>
          <w:sz w:val="22"/>
          <w:szCs w:val="22"/>
          <w:u w:val="single"/>
        </w:rPr>
        <w:t>não-cumulativa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 de </w:t>
      </w:r>
      <w:r>
        <w:rPr>
          <w:rFonts w:ascii="Calibri" w:hAnsi="Calibri" w:eastAsia="Lucida Sans Unicode"/>
          <w:b/>
          <w:kern w:val="2"/>
          <w:sz w:val="22"/>
          <w:szCs w:val="22"/>
        </w:rPr>
        <w:t>PIS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 e </w:t>
      </w:r>
      <w:r>
        <w:rPr>
          <w:rFonts w:ascii="Calibri" w:hAnsi="Calibri" w:eastAsia="Lucida Sans Unicode"/>
          <w:b/>
          <w:kern w:val="2"/>
          <w:sz w:val="22"/>
          <w:szCs w:val="22"/>
        </w:rPr>
        <w:t>COFINS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 devem cotar </w:t>
      </w:r>
      <w:r>
        <w:rPr>
          <w:rFonts w:ascii="Calibri" w:hAnsi="Calibri" w:eastAsia="Lucida Sans Unicode"/>
          <w:b/>
          <w:kern w:val="2"/>
          <w:sz w:val="22"/>
          <w:szCs w:val="22"/>
          <w:u w:val="single"/>
        </w:rPr>
        <w:t>os percentuais que representem a média das alíquotas efetivamente recolhidas nos 12 (doze) meses anteriores à apresentação da proposta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, tendo em vista que as Leis 10.637/2002 e 10.833/2003, apurada com base nos dados da </w:t>
      </w:r>
      <w:r>
        <w:rPr>
          <w:rFonts w:ascii="Calibri" w:hAnsi="Calibri" w:eastAsia="Lucida Sans Unicode"/>
          <w:b/>
          <w:kern w:val="2"/>
          <w:sz w:val="22"/>
          <w:szCs w:val="22"/>
        </w:rPr>
        <w:t>Escrituração Fiscal Digital da Contribuição para o PIS/PASEP e para a COFINS (EFD-Contribuições)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, cujos respectivos </w:t>
      </w:r>
      <w:r>
        <w:rPr>
          <w:rFonts w:ascii="Calibri" w:hAnsi="Calibri" w:eastAsia="Lucida Sans Unicode"/>
          <w:b/>
          <w:kern w:val="2"/>
          <w:sz w:val="22"/>
          <w:szCs w:val="22"/>
          <w:u w:val="single"/>
        </w:rPr>
        <w:t>registros deverão ser remetidos juntamente com a proposta e as planilhas</w:t>
      </w:r>
      <w:r>
        <w:rPr>
          <w:rFonts w:ascii="Calibri" w:hAnsi="Calibri" w:eastAsia="Lucida Sans Unicode"/>
          <w:kern w:val="2"/>
          <w:sz w:val="22"/>
          <w:szCs w:val="22"/>
        </w:rPr>
        <w:t>.</w:t>
      </w:r>
    </w:p>
    <w:p>
      <w:pPr>
        <w:widowControl w:val="0"/>
        <w:spacing w:line="276" w:lineRule="auto"/>
        <w:ind w:left="708"/>
        <w:rPr>
          <w:rFonts w:ascii="Calibri" w:hAnsi="Calibri" w:eastAsia="Lucida Sans Unicode"/>
          <w:kern w:val="2"/>
          <w:sz w:val="22"/>
          <w:szCs w:val="22"/>
        </w:rPr>
      </w:pPr>
    </w:p>
    <w:p>
      <w:pPr>
        <w:widowControl w:val="0"/>
        <w:tabs>
          <w:tab w:val="left" w:pos="1560"/>
        </w:tabs>
        <w:spacing w:line="276" w:lineRule="auto"/>
        <w:jc w:val="both"/>
      </w:pPr>
      <w:r>
        <w:rPr>
          <w:rFonts w:ascii="Calibri" w:hAnsi="Calibri" w:eastAsia="Lucida Sans Unicode"/>
          <w:kern w:val="2"/>
          <w:sz w:val="22"/>
          <w:szCs w:val="22"/>
        </w:rPr>
        <w:t xml:space="preserve">Caso a LICITANTE tenha </w:t>
      </w:r>
      <w:r>
        <w:rPr>
          <w:rFonts w:ascii="Calibri" w:hAnsi="Calibri" w:eastAsia="Lucida Sans Unicode"/>
          <w:b/>
          <w:kern w:val="2"/>
          <w:sz w:val="22"/>
          <w:szCs w:val="22"/>
        </w:rPr>
        <w:t>recolhido tributos pelo regime de incidência não-cumulativa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 em apenas </w:t>
      </w:r>
      <w:r>
        <w:rPr>
          <w:rFonts w:ascii="Calibri" w:hAnsi="Calibri" w:eastAsia="Lucida Sans Unicode"/>
          <w:b/>
          <w:kern w:val="2"/>
          <w:sz w:val="22"/>
          <w:szCs w:val="22"/>
        </w:rPr>
        <w:t>alguns meses do período que deve ser considerado para o cálculo do percentual médio efetivo</w:t>
      </w:r>
      <w:r>
        <w:rPr>
          <w:rFonts w:ascii="Calibri" w:hAnsi="Calibri" w:eastAsia="Lucida Sans Unicode"/>
          <w:kern w:val="2"/>
          <w:sz w:val="22"/>
          <w:szCs w:val="22"/>
        </w:rPr>
        <w:t xml:space="preserve"> (12 meses anteriores à data da proposta), poderá apresentar o cálculo </w:t>
      </w:r>
      <w:r>
        <w:rPr>
          <w:rFonts w:ascii="Calibri" w:hAnsi="Calibri" w:eastAsia="Lucida Sans Unicode"/>
          <w:b/>
          <w:kern w:val="2"/>
          <w:sz w:val="22"/>
          <w:szCs w:val="22"/>
        </w:rPr>
        <w:t>considerando apenas os meses em que houve recolhimento</w:t>
      </w:r>
      <w:r>
        <w:rPr>
          <w:rFonts w:ascii="Calibri" w:hAnsi="Calibri" w:eastAsia="Lucida Sans Unicode"/>
          <w:kern w:val="2"/>
          <w:sz w:val="22"/>
          <w:szCs w:val="22"/>
        </w:rPr>
        <w:t>.</w:t>
      </w:r>
    </w:p>
    <w:sectPr>
      <w:headerReference r:id="rId4" w:type="default"/>
      <w:footerReference r:id="rId5" w:type="default"/>
      <w:pgSz w:w="11906" w:h="16838"/>
      <w:pgMar w:top="1417" w:right="1274" w:bottom="1417" w:left="1418" w:header="708" w:footer="306" w:gutter="0"/>
      <w:pgBorders w:offsetFrom="page">
        <w:top w:val="single" w:color="000000" w:sz="18" w:space="24"/>
        <w:left w:val="single" w:color="000000" w:sz="18" w:space="24"/>
        <w:bottom w:val="single" w:color="000000" w:sz="18" w:space="24"/>
        <w:right w:val="single" w:color="000000" w:sz="18" w:space="24"/>
      </w:pgBorders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t>____________________________________________________________________</w:t>
    </w:r>
  </w:p>
  <w:p>
    <w:pPr>
      <w:pStyle w:val="22"/>
      <w:jc w:val="center"/>
      <w:rPr>
        <w:i/>
      </w:rPr>
    </w:pPr>
    <w:r>
      <w:rPr>
        <w:sz w:val="12"/>
        <w:szCs w:val="12"/>
      </w:rPr>
      <w:t>Anexo X 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3"/>
        <w:rFonts w:ascii="Verdana" w:hAnsi="Verdana" w:eastAsia="MS Gothic"/>
        <w:sz w:val="16"/>
        <w:szCs w:val="16"/>
      </w:rPr>
      <w:t>1/10</w:t>
    </w:r>
  </w:p>
  <w:p>
    <w:pPr>
      <w:pStyle w:val="22"/>
      <w:rPr>
        <w:sz w:val="12"/>
        <w:szCs w:val="12"/>
      </w:rPr>
    </w:pPr>
  </w:p>
  <w:p>
    <w:pPr>
      <w:pStyle w:val="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5"/>
      </w:pPr>
      <w:r>
        <w:rPr>
          <w:rStyle w:val="49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  <w:rPr>
        <w:rFonts w:asciiTheme="minorHAnsi" w:hAnsiTheme="minorHAnsi"/>
        <w:sz w:val="16"/>
        <w:szCs w:val="16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23069.152636/2023-41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4062C"/>
    <w:multiLevelType w:val="multilevel"/>
    <w:tmpl w:val="0554062C"/>
    <w:lvl w:ilvl="0" w:tentative="0">
      <w:start w:val="1"/>
      <w:numFmt w:val="decimal"/>
      <w:lvlText w:val="(%1)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1D"/>
    <w:rsid w:val="00022464"/>
    <w:rsid w:val="00025F14"/>
    <w:rsid w:val="00062EE7"/>
    <w:rsid w:val="0007091C"/>
    <w:rsid w:val="00081D06"/>
    <w:rsid w:val="00083DB0"/>
    <w:rsid w:val="000904BD"/>
    <w:rsid w:val="00096953"/>
    <w:rsid w:val="000D4F19"/>
    <w:rsid w:val="000D7E4A"/>
    <w:rsid w:val="000E60C1"/>
    <w:rsid w:val="00100793"/>
    <w:rsid w:val="00127394"/>
    <w:rsid w:val="0013021D"/>
    <w:rsid w:val="001338D9"/>
    <w:rsid w:val="00133CD1"/>
    <w:rsid w:val="0014616A"/>
    <w:rsid w:val="00150365"/>
    <w:rsid w:val="001518A3"/>
    <w:rsid w:val="00156A99"/>
    <w:rsid w:val="001776C1"/>
    <w:rsid w:val="0019718E"/>
    <w:rsid w:val="001D0DA4"/>
    <w:rsid w:val="001E1541"/>
    <w:rsid w:val="002100BD"/>
    <w:rsid w:val="00215289"/>
    <w:rsid w:val="0022215B"/>
    <w:rsid w:val="00222366"/>
    <w:rsid w:val="00233184"/>
    <w:rsid w:val="00240C8D"/>
    <w:rsid w:val="00241E06"/>
    <w:rsid w:val="00262EB7"/>
    <w:rsid w:val="00296321"/>
    <w:rsid w:val="002B5411"/>
    <w:rsid w:val="002E31AA"/>
    <w:rsid w:val="002F73F4"/>
    <w:rsid w:val="0030151E"/>
    <w:rsid w:val="0030302C"/>
    <w:rsid w:val="003150FF"/>
    <w:rsid w:val="00327BF6"/>
    <w:rsid w:val="0035251D"/>
    <w:rsid w:val="00363E9E"/>
    <w:rsid w:val="0036420B"/>
    <w:rsid w:val="00380B50"/>
    <w:rsid w:val="00382F6B"/>
    <w:rsid w:val="00383723"/>
    <w:rsid w:val="003858BC"/>
    <w:rsid w:val="003B2BEE"/>
    <w:rsid w:val="003D2A1B"/>
    <w:rsid w:val="003D7132"/>
    <w:rsid w:val="003E2244"/>
    <w:rsid w:val="003F496D"/>
    <w:rsid w:val="003F53BE"/>
    <w:rsid w:val="004020FD"/>
    <w:rsid w:val="00425FD6"/>
    <w:rsid w:val="0043494E"/>
    <w:rsid w:val="00442149"/>
    <w:rsid w:val="00456CA1"/>
    <w:rsid w:val="00460EF0"/>
    <w:rsid w:val="004706D0"/>
    <w:rsid w:val="00481D1C"/>
    <w:rsid w:val="004933EB"/>
    <w:rsid w:val="004A4856"/>
    <w:rsid w:val="004B4712"/>
    <w:rsid w:val="004C5329"/>
    <w:rsid w:val="004D3DBC"/>
    <w:rsid w:val="004D4C2F"/>
    <w:rsid w:val="004E1728"/>
    <w:rsid w:val="004E5031"/>
    <w:rsid w:val="00515DDC"/>
    <w:rsid w:val="00572950"/>
    <w:rsid w:val="005B72D0"/>
    <w:rsid w:val="005E5BE8"/>
    <w:rsid w:val="0060694C"/>
    <w:rsid w:val="0061341E"/>
    <w:rsid w:val="00643118"/>
    <w:rsid w:val="00664443"/>
    <w:rsid w:val="00674915"/>
    <w:rsid w:val="00675CD9"/>
    <w:rsid w:val="006927ED"/>
    <w:rsid w:val="00694321"/>
    <w:rsid w:val="006962AF"/>
    <w:rsid w:val="006A1B35"/>
    <w:rsid w:val="006A24B4"/>
    <w:rsid w:val="006A5225"/>
    <w:rsid w:val="006B073D"/>
    <w:rsid w:val="006B3F03"/>
    <w:rsid w:val="006B75C2"/>
    <w:rsid w:val="006C0732"/>
    <w:rsid w:val="006F4C05"/>
    <w:rsid w:val="006F50E0"/>
    <w:rsid w:val="00710621"/>
    <w:rsid w:val="00714503"/>
    <w:rsid w:val="00720009"/>
    <w:rsid w:val="007217B8"/>
    <w:rsid w:val="00757BF8"/>
    <w:rsid w:val="00760403"/>
    <w:rsid w:val="0076112C"/>
    <w:rsid w:val="007643DE"/>
    <w:rsid w:val="00786D92"/>
    <w:rsid w:val="00791490"/>
    <w:rsid w:val="007B0AD0"/>
    <w:rsid w:val="007B1961"/>
    <w:rsid w:val="007B23CA"/>
    <w:rsid w:val="007C0B40"/>
    <w:rsid w:val="007C31B8"/>
    <w:rsid w:val="007C5E16"/>
    <w:rsid w:val="007D5DDC"/>
    <w:rsid w:val="007F4CE0"/>
    <w:rsid w:val="007F7BA5"/>
    <w:rsid w:val="0081045C"/>
    <w:rsid w:val="00864661"/>
    <w:rsid w:val="00876481"/>
    <w:rsid w:val="00880459"/>
    <w:rsid w:val="008862D8"/>
    <w:rsid w:val="008A6FF3"/>
    <w:rsid w:val="008B36E0"/>
    <w:rsid w:val="008B6503"/>
    <w:rsid w:val="008C1B2B"/>
    <w:rsid w:val="008D647E"/>
    <w:rsid w:val="008F098C"/>
    <w:rsid w:val="009143CE"/>
    <w:rsid w:val="00951E7B"/>
    <w:rsid w:val="009660B4"/>
    <w:rsid w:val="009979E5"/>
    <w:rsid w:val="00A34AB3"/>
    <w:rsid w:val="00A531F5"/>
    <w:rsid w:val="00A5736E"/>
    <w:rsid w:val="00A657B5"/>
    <w:rsid w:val="00A777DD"/>
    <w:rsid w:val="00AA205C"/>
    <w:rsid w:val="00AA3D68"/>
    <w:rsid w:val="00AA68C0"/>
    <w:rsid w:val="00AC0F0D"/>
    <w:rsid w:val="00AD06CA"/>
    <w:rsid w:val="00B14366"/>
    <w:rsid w:val="00B602FA"/>
    <w:rsid w:val="00B73F23"/>
    <w:rsid w:val="00B807D1"/>
    <w:rsid w:val="00BC1110"/>
    <w:rsid w:val="00BD0E8C"/>
    <w:rsid w:val="00BE1D75"/>
    <w:rsid w:val="00BF05FF"/>
    <w:rsid w:val="00C57E60"/>
    <w:rsid w:val="00C609DB"/>
    <w:rsid w:val="00C60C1C"/>
    <w:rsid w:val="00C85F08"/>
    <w:rsid w:val="00C86FD7"/>
    <w:rsid w:val="00C90D31"/>
    <w:rsid w:val="00CB6253"/>
    <w:rsid w:val="00CC4061"/>
    <w:rsid w:val="00CD5693"/>
    <w:rsid w:val="00CE38FA"/>
    <w:rsid w:val="00CF30B1"/>
    <w:rsid w:val="00D010D1"/>
    <w:rsid w:val="00D66379"/>
    <w:rsid w:val="00D91DD1"/>
    <w:rsid w:val="00DA53E7"/>
    <w:rsid w:val="00E1260A"/>
    <w:rsid w:val="00E16A83"/>
    <w:rsid w:val="00E40030"/>
    <w:rsid w:val="00E477A6"/>
    <w:rsid w:val="00E941AC"/>
    <w:rsid w:val="00E97BDA"/>
    <w:rsid w:val="00EB64F6"/>
    <w:rsid w:val="00EC705B"/>
    <w:rsid w:val="00EF182A"/>
    <w:rsid w:val="00F02E97"/>
    <w:rsid w:val="00F136AD"/>
    <w:rsid w:val="00F14725"/>
    <w:rsid w:val="00F64B6D"/>
    <w:rsid w:val="00F6782F"/>
    <w:rsid w:val="00F7074E"/>
    <w:rsid w:val="00F77BB2"/>
    <w:rsid w:val="00F92087"/>
    <w:rsid w:val="00F94D2F"/>
    <w:rsid w:val="43603A4D"/>
    <w:rsid w:val="71301D82"/>
    <w:rsid w:val="78C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6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4"/>
    <w:basedOn w:val="1"/>
    <w:next w:val="1"/>
    <w:link w:val="37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5">
    <w:name w:val="heading 7"/>
    <w:basedOn w:val="1"/>
    <w:next w:val="1"/>
    <w:link w:val="28"/>
    <w:qFormat/>
    <w:uiPriority w:val="0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6"/>
    <w:qFormat/>
    <w:uiPriority w:val="22"/>
    <w:rPr>
      <w:b/>
      <w:bCs/>
    </w:rPr>
  </w:style>
  <w:style w:type="character" w:styleId="9">
    <w:name w:val="annotation reference"/>
    <w:basedOn w:val="6"/>
    <w:semiHidden/>
    <w:unhideWhenUsed/>
    <w:qFormat/>
    <w:uiPriority w:val="99"/>
    <w:rPr>
      <w:sz w:val="16"/>
      <w:szCs w:val="16"/>
    </w:rPr>
  </w:style>
  <w:style w:type="character" w:styleId="10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6"/>
    <w:qFormat/>
    <w:uiPriority w:val="20"/>
    <w:rPr>
      <w:i/>
      <w:iCs/>
    </w:rPr>
  </w:style>
  <w:style w:type="character" w:styleId="12">
    <w:name w:val="Hyperlink"/>
    <w:basedOn w:val="6"/>
    <w:semiHidden/>
    <w:unhideWhenUsed/>
    <w:uiPriority w:val="99"/>
    <w:rPr>
      <w:color w:val="0000FF"/>
      <w:u w:val="single"/>
    </w:rPr>
  </w:style>
  <w:style w:type="character" w:styleId="13">
    <w:name w:val="page number"/>
    <w:uiPriority w:val="0"/>
  </w:style>
  <w:style w:type="paragraph" w:styleId="14">
    <w:name w:val="List"/>
    <w:basedOn w:val="15"/>
    <w:uiPriority w:val="0"/>
    <w:rPr>
      <w:rFonts w:cs="Arial"/>
    </w:rPr>
  </w:style>
  <w:style w:type="paragraph" w:styleId="15">
    <w:name w:val="Body Text"/>
    <w:basedOn w:val="1"/>
    <w:uiPriority w:val="0"/>
    <w:pPr>
      <w:spacing w:after="140" w:line="276" w:lineRule="auto"/>
    </w:pPr>
  </w:style>
  <w:style w:type="paragraph" w:styleId="16">
    <w:name w:val="annotation text"/>
    <w:basedOn w:val="1"/>
    <w:link w:val="40"/>
    <w:semiHidden/>
    <w:unhideWhenUsed/>
    <w:qFormat/>
    <w:uiPriority w:val="99"/>
  </w:style>
  <w:style w:type="paragraph" w:styleId="17">
    <w:name w:val="Body Text Indent 2"/>
    <w:basedOn w:val="1"/>
    <w:link w:val="30"/>
    <w:qFormat/>
    <w:uiPriority w:val="0"/>
    <w:pPr>
      <w:ind w:left="3686"/>
      <w:jc w:val="both"/>
    </w:pPr>
    <w:rPr>
      <w:rFonts w:ascii="Arial" w:hAnsi="Arial"/>
      <w:b/>
    </w:rPr>
  </w:style>
  <w:style w:type="paragraph" w:styleId="18">
    <w:name w:val="Title"/>
    <w:basedOn w:val="1"/>
    <w:next w:val="1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9">
    <w:name w:val="Normal (Web)"/>
    <w:basedOn w:val="1"/>
    <w:semiHidden/>
    <w:unhideWhenUsed/>
    <w:qFormat/>
    <w:uiPriority w:val="99"/>
    <w:pPr>
      <w:spacing w:beforeAutospacing="1" w:afterAutospacing="1"/>
    </w:pPr>
    <w:rPr>
      <w:sz w:val="24"/>
      <w:szCs w:val="24"/>
    </w:rPr>
  </w:style>
  <w:style w:type="paragraph" w:styleId="20">
    <w:name w:val="header"/>
    <w:basedOn w:val="1"/>
    <w:link w:val="32"/>
    <w:unhideWhenUsed/>
    <w:uiPriority w:val="99"/>
    <w:pPr>
      <w:tabs>
        <w:tab w:val="center" w:pos="4252"/>
        <w:tab w:val="right" w:pos="8504"/>
      </w:tabs>
    </w:pPr>
  </w:style>
  <w:style w:type="paragraph" w:styleId="21">
    <w:name w:val="annotation subject"/>
    <w:basedOn w:val="16"/>
    <w:next w:val="16"/>
    <w:link w:val="41"/>
    <w:semiHidden/>
    <w:unhideWhenUsed/>
    <w:qFormat/>
    <w:uiPriority w:val="99"/>
    <w:rPr>
      <w:b/>
      <w:bCs/>
    </w:rPr>
  </w:style>
  <w:style w:type="paragraph" w:styleId="22">
    <w:name w:val="footer"/>
    <w:basedOn w:val="1"/>
    <w:link w:val="33"/>
    <w:unhideWhenUsed/>
    <w:qFormat/>
    <w:uiPriority w:val="99"/>
    <w:pPr>
      <w:tabs>
        <w:tab w:val="center" w:pos="4252"/>
        <w:tab w:val="right" w:pos="8504"/>
      </w:tabs>
    </w:pPr>
  </w:style>
  <w:style w:type="paragraph" w:styleId="2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4">
    <w:name w:val="Balloon Text"/>
    <w:basedOn w:val="1"/>
    <w:link w:val="3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5">
    <w:name w:val="footnote text"/>
    <w:basedOn w:val="1"/>
    <w:link w:val="46"/>
    <w:semiHidden/>
    <w:unhideWhenUsed/>
    <w:uiPriority w:val="99"/>
  </w:style>
  <w:style w:type="paragraph" w:styleId="26">
    <w:name w:val="Body Text Indent"/>
    <w:basedOn w:val="1"/>
    <w:link w:val="29"/>
    <w:qFormat/>
    <w:uiPriority w:val="0"/>
    <w:pPr>
      <w:ind w:left="426" w:hanging="426"/>
    </w:pPr>
  </w:style>
  <w:style w:type="table" w:styleId="27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">
    <w:name w:val="Título 7 Char"/>
    <w:basedOn w:val="6"/>
    <w:link w:val="5"/>
    <w:qFormat/>
    <w:uiPriority w:val="0"/>
    <w:rPr>
      <w:rFonts w:ascii="Arial" w:hAnsi="Arial" w:eastAsia="Times New Roman" w:cs="Times New Roman"/>
      <w:b/>
      <w:sz w:val="28"/>
      <w:szCs w:val="20"/>
      <w:u w:val="single"/>
      <w:lang w:val="pt-PT"/>
    </w:rPr>
  </w:style>
  <w:style w:type="character" w:customStyle="1" w:styleId="29">
    <w:name w:val="Recuo de corpo de texto Char"/>
    <w:basedOn w:val="6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30">
    <w:name w:val="Recuo de corpo de texto 2 Char"/>
    <w:basedOn w:val="6"/>
    <w:link w:val="17"/>
    <w:qFormat/>
    <w:uiPriority w:val="0"/>
    <w:rPr>
      <w:rFonts w:ascii="Arial" w:hAnsi="Arial" w:eastAsia="Times New Roman" w:cs="Times New Roman"/>
      <w:b/>
      <w:sz w:val="20"/>
      <w:szCs w:val="20"/>
    </w:rPr>
  </w:style>
  <w:style w:type="character" w:customStyle="1" w:styleId="31">
    <w:name w:val="Texto de balão Char"/>
    <w:basedOn w:val="6"/>
    <w:link w:val="24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32">
    <w:name w:val="Cabeçalho Char"/>
    <w:basedOn w:val="6"/>
    <w:link w:val="20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33">
    <w:name w:val="Rodapé Char"/>
    <w:basedOn w:val="6"/>
    <w:link w:val="22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34">
    <w:name w:val="Título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pt-BR"/>
    </w:rPr>
  </w:style>
  <w:style w:type="character" w:customStyle="1" w:styleId="35">
    <w:name w:val="Fonte parág. padrão6"/>
    <w:qFormat/>
    <w:uiPriority w:val="0"/>
  </w:style>
  <w:style w:type="character" w:customStyle="1" w:styleId="36">
    <w:name w:val="Título 2 Char"/>
    <w:basedOn w:val="6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pt-BR"/>
    </w:rPr>
  </w:style>
  <w:style w:type="character" w:customStyle="1" w:styleId="37">
    <w:name w:val="Título 4 Char"/>
    <w:basedOn w:val="6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sz w:val="20"/>
      <w:szCs w:val="20"/>
      <w:lang w:eastAsia="pt-BR"/>
    </w:rPr>
  </w:style>
  <w:style w:type="character" w:customStyle="1" w:styleId="38">
    <w:name w:val="Link da Internet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39">
    <w:name w:val="qtip-link"/>
    <w:basedOn w:val="6"/>
    <w:qFormat/>
    <w:uiPriority w:val="0"/>
  </w:style>
  <w:style w:type="character" w:customStyle="1" w:styleId="40">
    <w:name w:val="Texto de comentário Char"/>
    <w:basedOn w:val="6"/>
    <w:link w:val="16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41">
    <w:name w:val="Assunto do comentário Char"/>
    <w:basedOn w:val="40"/>
    <w:link w:val="21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customStyle="1" w:styleId="42">
    <w:name w:val="m_7892110431564642023ttulo2char"/>
    <w:basedOn w:val="6"/>
    <w:qFormat/>
    <w:uiPriority w:val="0"/>
  </w:style>
  <w:style w:type="character" w:customStyle="1" w:styleId="43">
    <w:name w:val="WW8Num5z3"/>
    <w:qFormat/>
    <w:uiPriority w:val="0"/>
    <w:rPr>
      <w:rFonts w:ascii="Symbol" w:hAnsi="Symbol" w:cs="Symbol"/>
    </w:rPr>
  </w:style>
  <w:style w:type="character" w:customStyle="1" w:styleId="44">
    <w:name w:val="WW8Num5z4"/>
    <w:qFormat/>
    <w:uiPriority w:val="0"/>
    <w:rPr>
      <w:rFonts w:ascii="Courier New" w:hAnsi="Courier New" w:cs="Courier New"/>
    </w:rPr>
  </w:style>
  <w:style w:type="character" w:customStyle="1" w:styleId="45">
    <w:name w:val="WW8Num6z0"/>
    <w:qFormat/>
    <w:uiPriority w:val="0"/>
    <w:rPr>
      <w:rFonts w:ascii="Times New Roman" w:hAnsi="Times New Roman" w:cs="Times New Roman"/>
    </w:rPr>
  </w:style>
  <w:style w:type="character" w:customStyle="1" w:styleId="46">
    <w:name w:val="Texto de nota de rodapé Char"/>
    <w:basedOn w:val="6"/>
    <w:link w:val="2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47">
    <w:name w:val="Âncora da nota de rodapé"/>
    <w:uiPriority w:val="0"/>
    <w:rPr>
      <w:vertAlign w:val="superscript"/>
    </w:rPr>
  </w:style>
  <w:style w:type="character" w:customStyle="1" w:styleId="48">
    <w:name w:val="Footnote Characters"/>
    <w:basedOn w:val="6"/>
    <w:semiHidden/>
    <w:unhideWhenUsed/>
    <w:qFormat/>
    <w:uiPriority w:val="99"/>
    <w:rPr>
      <w:vertAlign w:val="superscript"/>
    </w:rPr>
  </w:style>
  <w:style w:type="character" w:customStyle="1" w:styleId="49">
    <w:name w:val="Caracteres de nota de rodapé"/>
    <w:qFormat/>
    <w:uiPriority w:val="0"/>
  </w:style>
  <w:style w:type="character" w:customStyle="1" w:styleId="50">
    <w:name w:val="Âncora da nota de fim"/>
    <w:uiPriority w:val="0"/>
    <w:rPr>
      <w:vertAlign w:val="superscript"/>
    </w:rPr>
  </w:style>
  <w:style w:type="character" w:customStyle="1" w:styleId="51">
    <w:name w:val="Caracteres de nota de fim"/>
    <w:qFormat/>
    <w:uiPriority w:val="0"/>
  </w:style>
  <w:style w:type="paragraph" w:customStyle="1" w:styleId="52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53">
    <w:name w:val="ParaPrinc"/>
    <w:basedOn w:val="1"/>
    <w:qFormat/>
    <w:uiPriority w:val="0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customStyle="1" w:styleId="54">
    <w:name w:val="Default"/>
    <w:qFormat/>
    <w:uiPriority w:val="0"/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customStyle="1" w:styleId="55">
    <w:name w:val="WW-Recuo de corpo de texto 2"/>
    <w:basedOn w:val="1"/>
    <w:qFormat/>
    <w:uiPriority w:val="0"/>
    <w:pPr>
      <w:suppressAutoHyphens/>
      <w:ind w:firstLine="708"/>
      <w:jc w:val="both"/>
    </w:pPr>
    <w:rPr>
      <w:b/>
    </w:rPr>
  </w:style>
  <w:style w:type="paragraph" w:customStyle="1" w:styleId="56">
    <w:name w:val="Contrato"/>
    <w:basedOn w:val="1"/>
    <w:qFormat/>
    <w:uiPriority w:val="0"/>
    <w:pPr>
      <w:spacing w:after="240"/>
      <w:jc w:val="both"/>
    </w:pPr>
    <w:rPr>
      <w:sz w:val="24"/>
    </w:rPr>
  </w:style>
  <w:style w:type="paragraph" w:customStyle="1" w:styleId="57">
    <w:name w:val="Cabeçalho e Rodapé"/>
    <w:basedOn w:val="1"/>
    <w:qFormat/>
    <w:uiPriority w:val="0"/>
  </w:style>
  <w:style w:type="paragraph" w:styleId="58">
    <w:name w:val="List Paragraph"/>
    <w:basedOn w:val="1"/>
    <w:qFormat/>
    <w:uiPriority w:val="34"/>
    <w:pPr>
      <w:ind w:left="720"/>
      <w:contextualSpacing/>
    </w:pPr>
  </w:style>
  <w:style w:type="paragraph" w:customStyle="1" w:styleId="59">
    <w:name w:val="Parágrafo da Lista1"/>
    <w:basedOn w:val="1"/>
    <w:qFormat/>
    <w:uiPriority w:val="0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60">
    <w:name w:val="_A010165"/>
    <w:qFormat/>
    <w:uiPriority w:val="0"/>
    <w:pPr>
      <w:tabs>
        <w:tab w:val="left" w:pos="937"/>
      </w:tabs>
      <w:suppressAutoHyphens/>
      <w:jc w:val="both"/>
    </w:pPr>
    <w:rPr>
      <w:rFonts w:ascii="Arial" w:hAnsi="Arial" w:eastAsia="Times New Roman" w:cs="Times New Roman"/>
      <w:color w:val="000000"/>
      <w:lang w:val="pt-BR" w:eastAsia="ar-SA" w:bidi="ar-SA"/>
    </w:rPr>
  </w:style>
  <w:style w:type="paragraph" w:customStyle="1" w:styleId="61">
    <w:name w:val="Table Paragraph"/>
    <w:basedOn w:val="1"/>
    <w:qFormat/>
    <w:uiPriority w:val="1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62">
    <w:name w:val="rtejustify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63">
    <w:name w:val="rtecenter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64">
    <w:name w:val="rteindent1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65">
    <w:name w:val="texto_justificado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66">
    <w:name w:val="Conteúdo do quadro"/>
    <w:basedOn w:val="1"/>
    <w:qFormat/>
    <w:uiPriority w:val="0"/>
  </w:style>
  <w:style w:type="table" w:customStyle="1" w:styleId="67">
    <w:name w:val="Tabela de Grade 4 - Ênfase 31"/>
    <w:basedOn w:val="7"/>
    <w:qFormat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68">
    <w:name w:val="Tabela de Lista 3 - Ênfase 31"/>
    <w:basedOn w:val="7"/>
    <w:uiPriority w:val="48"/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BBB59" w:themeColor="accent3" w:sz="4" w:space="0"/>
          <w:left w:val="nil"/>
        </w:tcBorders>
      </w:tcPr>
    </w:tblStylePr>
    <w:tblStylePr w:type="swCell"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69">
    <w:name w:val="Tabela de Grade 6 Colorida - Ênfase 31"/>
    <w:basedOn w:val="7"/>
    <w:qFormat/>
    <w:uiPriority w:val="51"/>
    <w:rPr>
      <w:color w:val="77933C" w:themeColor="accent3" w:themeShade="BF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9BBB59" w:themeColor="accent3" w:sz="12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70">
    <w:name w:val="Tabela de Grade 4 - Ênfase 11"/>
    <w:basedOn w:val="7"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71">
    <w:name w:val="Grid Table 4 Accent 1"/>
    <w:basedOn w:val="7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D733A-D005-4F7B-8526-FBAE27407E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4845</Words>
  <Characters>26165</Characters>
  <Lines>218</Lines>
  <Paragraphs>61</Paragraphs>
  <TotalTime>42</TotalTime>
  <ScaleCrop>false</ScaleCrop>
  <LinksUpToDate>false</LinksUpToDate>
  <CharactersWithSpaces>30949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2022-08-15T01:17:00Z</dcterms:created>
  <dc:creator>bteixeira</dc:creator>
  <cp:lastModifiedBy>JULY</cp:lastModifiedBy>
  <cp:lastPrinted>2022-08-02T01:42:00Z</cp:lastPrinted>
  <dcterms:modified xsi:type="dcterms:W3CDTF">2023-04-11T20:04:32Z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1046-11.2.0.11516</vt:lpwstr>
  </property>
  <property fmtid="{D5CDD505-2E9C-101B-9397-08002B2CF9AE}" pid="9" name="ICV">
    <vt:lpwstr>A0555E6139174FC4B3509CA22F411637</vt:lpwstr>
  </property>
</Properties>
</file>